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六农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60号</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p>
      <w:pPr>
        <w:spacing w:line="620" w:lineRule="exact"/>
        <w:jc w:val="center"/>
        <w:rPr>
          <w:rFonts w:ascii="方正小标宋简体" w:eastAsia="方正小标宋简体"/>
          <w:sz w:val="40"/>
          <w:szCs w:val="40"/>
        </w:rPr>
      </w:pPr>
      <w:r>
        <w:rPr>
          <w:rFonts w:hint="eastAsia" w:ascii="方正小标宋简体" w:eastAsia="方正小标宋简体"/>
          <w:sz w:val="40"/>
          <w:szCs w:val="40"/>
        </w:rPr>
        <w:t>六安市农业委员会关于印发六安市</w:t>
      </w:r>
      <w:r>
        <w:rPr>
          <w:rFonts w:ascii="方正小标宋简体" w:eastAsia="方正小标宋简体"/>
          <w:sz w:val="40"/>
          <w:szCs w:val="40"/>
        </w:rPr>
        <w:t>201</w:t>
      </w:r>
      <w:r>
        <w:rPr>
          <w:rFonts w:hint="eastAsia" w:ascii="方正小标宋简体" w:eastAsia="方正小标宋简体"/>
          <w:sz w:val="40"/>
          <w:szCs w:val="40"/>
        </w:rPr>
        <w:t>8年</w:t>
      </w:r>
    </w:p>
    <w:p>
      <w:pPr>
        <w:spacing w:line="620" w:lineRule="exact"/>
        <w:jc w:val="center"/>
        <w:rPr>
          <w:rFonts w:ascii="方正小标宋简体" w:eastAsia="方正小标宋简体"/>
          <w:sz w:val="40"/>
          <w:szCs w:val="40"/>
        </w:rPr>
      </w:pPr>
      <w:r>
        <w:rPr>
          <w:rFonts w:hint="eastAsia" w:ascii="方正小标宋简体" w:eastAsia="方正小标宋简体"/>
          <w:sz w:val="40"/>
          <w:szCs w:val="40"/>
        </w:rPr>
        <w:t>“三品一标”工作要点的通知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szCs w:val="32"/>
        </w:rPr>
      </w:pPr>
      <w:r>
        <w:rPr>
          <w:rFonts w:hint="eastAsia" w:ascii="仿宋_GB2312"/>
          <w:szCs w:val="32"/>
        </w:rPr>
        <w:t>各县区农委（畜牧局、水产局）、霍山县茶茧办、裕安区蔬茧局，委属有关单位：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szCs w:val="32"/>
        </w:rPr>
      </w:pPr>
      <w:r>
        <w:rPr>
          <w:rFonts w:hint="eastAsia"/>
          <w:szCs w:val="32"/>
        </w:rPr>
        <w:t>为认真做好</w:t>
      </w:r>
      <w:r>
        <w:rPr>
          <w:szCs w:val="32"/>
        </w:rPr>
        <w:t>201</w:t>
      </w:r>
      <w:r>
        <w:rPr>
          <w:rFonts w:hint="eastAsia"/>
          <w:szCs w:val="32"/>
        </w:rPr>
        <w:t>8年</w:t>
      </w:r>
      <w:r>
        <w:rPr>
          <w:szCs w:val="32"/>
        </w:rPr>
        <w:t>“</w:t>
      </w:r>
      <w:r>
        <w:rPr>
          <w:rFonts w:hint="eastAsia"/>
          <w:szCs w:val="32"/>
        </w:rPr>
        <w:t>三品一标</w:t>
      </w:r>
      <w:r>
        <w:rPr>
          <w:szCs w:val="32"/>
        </w:rPr>
        <w:t>”</w:t>
      </w:r>
      <w:r>
        <w:rPr>
          <w:rFonts w:hint="eastAsia"/>
          <w:szCs w:val="32"/>
        </w:rPr>
        <w:t>产业发展各项工作，全面完成民生工程农产品质量安全认证体系建设任务，根据省农委《关于印发2018年农产品“三品一标”质量管理工作要点</w:t>
      </w:r>
      <w:r>
        <w:rPr>
          <w:rFonts w:hint="eastAsia"/>
          <w:szCs w:val="32"/>
          <w:lang w:eastAsia="zh-CN"/>
        </w:rPr>
        <w:t>的通知</w:t>
      </w:r>
      <w:r>
        <w:rPr>
          <w:rFonts w:hint="eastAsia"/>
          <w:szCs w:val="32"/>
        </w:rPr>
        <w:t>》（皖农办绿函〔2018〕50号）精神，结合我市工作实际，我委制定了《六安市</w:t>
      </w:r>
      <w:r>
        <w:rPr>
          <w:szCs w:val="32"/>
        </w:rPr>
        <w:t>2018</w:t>
      </w:r>
      <w:r>
        <w:rPr>
          <w:rFonts w:hint="eastAsia"/>
          <w:szCs w:val="32"/>
        </w:rPr>
        <w:t>年“三品一标”工作要点》，现予印发，请认真抓好落实。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304" w:firstLineChars="1700"/>
        <w:jc w:val="left"/>
        <w:textAlignment w:val="auto"/>
        <w:outlineLvl w:val="9"/>
        <w:rPr>
          <w:szCs w:val="32"/>
        </w:rPr>
      </w:pPr>
      <w:r>
        <w:rPr>
          <w:szCs w:val="32"/>
        </w:rPr>
        <w:t>六安市农业委员会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304" w:firstLineChars="1700"/>
        <w:jc w:val="left"/>
        <w:textAlignment w:val="auto"/>
        <w:outlineLvl w:val="9"/>
        <w:rPr>
          <w:szCs w:val="32"/>
        </w:rPr>
      </w:pPr>
      <w:r>
        <w:rPr>
          <w:szCs w:val="32"/>
        </w:rPr>
        <w:t>201</w:t>
      </w:r>
      <w:r>
        <w:rPr>
          <w:rFonts w:hint="eastAsia"/>
          <w:szCs w:val="32"/>
        </w:rPr>
        <w:t>8年5月</w:t>
      </w:r>
      <w:r>
        <w:rPr>
          <w:rFonts w:hint="eastAsia"/>
          <w:szCs w:val="32"/>
          <w:lang w:val="en-US" w:eastAsia="zh-CN"/>
        </w:rPr>
        <w:t>11</w:t>
      </w:r>
      <w:r>
        <w:rPr>
          <w:rFonts w:hint="eastAsia"/>
          <w:szCs w:val="32"/>
        </w:rPr>
        <w:t>日</w:t>
      </w:r>
    </w:p>
    <w:p>
      <w:pPr>
        <w:widowControl/>
        <w:jc w:val="center"/>
        <w:rPr>
          <w:rFonts w:hint="eastAsia" w:ascii="方正小标宋简体" w:hAnsi="方正小标宋简体" w:eastAsia="方正小标宋简体" w:cs="方正小标宋简体"/>
          <w:sz w:val="40"/>
          <w:szCs w:val="40"/>
        </w:rPr>
      </w:pPr>
      <w:r>
        <w:rPr>
          <w:szCs w:val="32"/>
        </w:rPr>
        <w:br w:type="page"/>
      </w:r>
      <w:r>
        <w:rPr>
          <w:rFonts w:hint="eastAsia" w:ascii="方正小标宋简体" w:hAnsi="方正小标宋简体" w:eastAsia="方正小标宋简体" w:cs="方正小标宋简体"/>
          <w:sz w:val="40"/>
          <w:szCs w:val="40"/>
        </w:rPr>
        <w:t>六安市2018年</w:t>
      </w:r>
      <w:r>
        <w:rPr>
          <w:rFonts w:hint="eastAsia" w:ascii="方正小标宋简体" w:hAnsi="方正小标宋简体" w:eastAsia="方正小标宋简体" w:cs="方正小标宋简体"/>
          <w:sz w:val="40"/>
          <w:szCs w:val="40"/>
          <w:lang w:eastAsia="zh-CN"/>
        </w:rPr>
        <w:t>“</w:t>
      </w:r>
      <w:r>
        <w:rPr>
          <w:rFonts w:hint="eastAsia" w:ascii="方正小标宋简体" w:hAnsi="方正小标宋简体" w:eastAsia="方正小标宋简体" w:cs="方正小标宋简体"/>
          <w:sz w:val="40"/>
          <w:szCs w:val="40"/>
        </w:rPr>
        <w:t>三品一标</w:t>
      </w:r>
      <w:r>
        <w:rPr>
          <w:rFonts w:hint="eastAsia" w:ascii="方正小标宋简体" w:hAnsi="方正小标宋简体" w:eastAsia="方正小标宋简体" w:cs="方正小标宋简体"/>
          <w:sz w:val="40"/>
          <w:szCs w:val="40"/>
          <w:lang w:eastAsia="zh-CN"/>
        </w:rPr>
        <w:t>”</w:t>
      </w:r>
      <w:r>
        <w:rPr>
          <w:rFonts w:hint="eastAsia" w:ascii="方正小标宋简体" w:hAnsi="方正小标宋简体" w:eastAsia="方正小标宋简体" w:cs="方正小标宋简体"/>
          <w:sz w:val="40"/>
          <w:szCs w:val="40"/>
        </w:rPr>
        <w:t>工作要点</w:t>
      </w:r>
    </w:p>
    <w:p>
      <w:pPr>
        <w:spacing w:line="620" w:lineRule="exact"/>
        <w:ind w:firstLine="624" w:firstLineChars="200"/>
        <w:rPr>
          <w:szCs w:val="32"/>
        </w:rPr>
      </w:pPr>
    </w:p>
    <w:p>
      <w:pPr>
        <w:spacing w:line="620" w:lineRule="exact"/>
        <w:ind w:firstLine="624" w:firstLineChars="200"/>
        <w:rPr>
          <w:szCs w:val="32"/>
        </w:rPr>
      </w:pPr>
      <w:r>
        <w:rPr>
          <w:szCs w:val="32"/>
        </w:rPr>
        <w:t>201</w:t>
      </w:r>
      <w:r>
        <w:rPr>
          <w:rFonts w:hint="eastAsia"/>
          <w:szCs w:val="32"/>
        </w:rPr>
        <w:t>8年，是农业部、省农委“三品一标”工作职能整合、权限调整的第一年，全市各级农业部门要贯彻落实质量兴农战略，围绕实施乡村振兴战略，坚持改革创新，加强工作对接，深入开展农业质量年活动，切实加大认证推进力度，提高监管服务水平，加强基地建设和宣传推介，力争全年新增“三品一标”产品3</w:t>
      </w:r>
      <w:r>
        <w:rPr>
          <w:szCs w:val="32"/>
        </w:rPr>
        <w:t>0</w:t>
      </w:r>
      <w:r>
        <w:rPr>
          <w:rFonts w:hint="eastAsia"/>
          <w:szCs w:val="32"/>
        </w:rPr>
        <w:t>个以上，年末有效</w:t>
      </w:r>
      <w:r>
        <w:rPr>
          <w:kern w:val="0"/>
          <w:szCs w:val="32"/>
        </w:rPr>
        <w:t>使用“三品一标”产品</w:t>
      </w:r>
      <w:r>
        <w:rPr>
          <w:rFonts w:hint="eastAsia"/>
          <w:kern w:val="0"/>
          <w:szCs w:val="32"/>
        </w:rPr>
        <w:t>43</w:t>
      </w:r>
      <w:r>
        <w:rPr>
          <w:kern w:val="0"/>
          <w:szCs w:val="32"/>
        </w:rPr>
        <w:t>0个以上</w:t>
      </w:r>
      <w:r>
        <w:rPr>
          <w:rFonts w:hint="eastAsia"/>
          <w:szCs w:val="32"/>
        </w:rPr>
        <w:t>，全面完成省下达的132个民生工程农产品质量安全认证体系奖补任务，推进我市农产品“三品一标”产业全面协调发展。</w:t>
      </w:r>
    </w:p>
    <w:p>
      <w:pPr>
        <w:spacing w:line="620" w:lineRule="exact"/>
        <w:ind w:firstLine="624" w:firstLineChars="200"/>
        <w:rPr>
          <w:rFonts w:ascii="黑体" w:hAnsi="黑体" w:eastAsia="黑体"/>
          <w:szCs w:val="32"/>
        </w:rPr>
      </w:pPr>
      <w:r>
        <w:rPr>
          <w:rFonts w:hint="eastAsia" w:ascii="黑体" w:hAnsi="黑体" w:eastAsia="黑体"/>
          <w:szCs w:val="32"/>
        </w:rPr>
        <w:t>一、精准发力，不断推进“三品一标”高质量发展</w:t>
      </w:r>
    </w:p>
    <w:p>
      <w:pPr>
        <w:spacing w:line="620" w:lineRule="exact"/>
        <w:ind w:firstLine="624" w:firstLineChars="200"/>
        <w:rPr>
          <w:szCs w:val="32"/>
        </w:rPr>
      </w:pPr>
      <w:r>
        <w:rPr>
          <w:rFonts w:ascii="楷体_GB2312" w:eastAsia="楷体_GB2312"/>
          <w:b/>
          <w:szCs w:val="32"/>
        </w:rPr>
        <w:t>1</w:t>
      </w:r>
      <w:r>
        <w:rPr>
          <w:rFonts w:hint="eastAsia" w:ascii="楷体_GB2312" w:eastAsia="楷体_GB2312"/>
          <w:b/>
          <w:szCs w:val="32"/>
        </w:rPr>
        <w:t>. 提升绿色食品发展质量。</w:t>
      </w:r>
      <w:r>
        <w:rPr>
          <w:rFonts w:hint="eastAsia"/>
          <w:szCs w:val="32"/>
        </w:rPr>
        <w:t>持续促进全市绿色食品总量增长，续展率稳定在65%以上。优化区域布局，加大茶叶、蔬菜、水果等特色农产品认证力度，优先在农产品质量安全县、出口农产品质量安全示范区、国家级贫困县等地区发展绿色食品。提高准入门槛，严格审核认证，提升发展质量，防范风险隐患。</w:t>
      </w:r>
    </w:p>
    <w:p>
      <w:pPr>
        <w:spacing w:line="620" w:lineRule="exact"/>
        <w:ind w:firstLine="624" w:firstLineChars="200"/>
        <w:rPr>
          <w:szCs w:val="32"/>
        </w:rPr>
      </w:pPr>
      <w:r>
        <w:rPr>
          <w:rFonts w:hint="eastAsia" w:ascii="楷体_GB2312" w:eastAsia="楷体_GB2312"/>
          <w:b/>
          <w:szCs w:val="32"/>
        </w:rPr>
        <w:t>2. 推进有机农产品发展。</w:t>
      </w:r>
      <w:r>
        <w:rPr>
          <w:rFonts w:hint="eastAsia"/>
          <w:szCs w:val="32"/>
        </w:rPr>
        <w:t>利用农业系统资源条件，发挥工作体系优势，积极推进有机农业发展，实现认证总量持续增长，再认证率保持在85%以上。率先将农业部门认证的有机农产品纳入追溯平台管理，增强为获证企业服务能力和水平，不断提升中绿华夏有机食品认证品牌的权威性和影响力。</w:t>
      </w:r>
    </w:p>
    <w:p>
      <w:pPr>
        <w:spacing w:line="620" w:lineRule="exact"/>
        <w:ind w:firstLine="624" w:firstLineChars="200"/>
        <w:rPr>
          <w:szCs w:val="32"/>
        </w:rPr>
      </w:pPr>
      <w:r>
        <w:rPr>
          <w:rFonts w:hint="eastAsia" w:ascii="楷体_GB2312" w:eastAsia="楷体_GB2312"/>
          <w:b/>
          <w:szCs w:val="32"/>
        </w:rPr>
        <w:t>3. 保护农产品地理标志。</w:t>
      </w:r>
      <w:r>
        <w:rPr>
          <w:rFonts w:hint="eastAsia"/>
          <w:szCs w:val="32"/>
        </w:rPr>
        <w:t>强化农产品地理标志申报工作程序和质量管理，提高登记保护工作的科学化和规范化水平。立足独特产地环境和人文历史，着力保持地标产品的独特品质。依托特色农产品优势区，打造知名的地理标志品牌，促进特色产业发展，争取本年度内农产品地理标志登记保护数量继续增长。</w:t>
      </w:r>
    </w:p>
    <w:p>
      <w:pPr>
        <w:spacing w:line="620" w:lineRule="exact"/>
        <w:ind w:firstLine="624" w:firstLineChars="200"/>
        <w:rPr>
          <w:szCs w:val="32"/>
        </w:rPr>
      </w:pPr>
      <w:r>
        <w:rPr>
          <w:rFonts w:hint="eastAsia" w:ascii="楷体_GB2312" w:eastAsia="楷体_GB2312"/>
          <w:b/>
          <w:szCs w:val="32"/>
        </w:rPr>
        <w:t>4. 推进无公害农产品认证。</w:t>
      </w:r>
      <w:r>
        <w:rPr>
          <w:rFonts w:hint="eastAsia"/>
          <w:szCs w:val="32"/>
        </w:rPr>
        <w:t>积极配合省绿办做好无公害农产品认证改革和“两证合一”工作，以畜禽、水产为重点推进我市无公害农产品认证数量稳定增长。</w:t>
      </w:r>
    </w:p>
    <w:p>
      <w:pPr>
        <w:spacing w:line="620" w:lineRule="exact"/>
        <w:ind w:firstLine="624" w:firstLineChars="200"/>
        <w:rPr>
          <w:szCs w:val="32"/>
        </w:rPr>
      </w:pPr>
      <w:r>
        <w:rPr>
          <w:rFonts w:hint="eastAsia" w:ascii="楷体_GB2312" w:eastAsia="楷体_GB2312"/>
          <w:b/>
          <w:szCs w:val="32"/>
        </w:rPr>
        <w:t>5. 开展企业内检员培训。</w:t>
      </w:r>
      <w:r>
        <w:rPr>
          <w:rFonts w:hint="eastAsia"/>
          <w:szCs w:val="32"/>
        </w:rPr>
        <w:t>各县区根据年度认证工作计划，积极组织开展绿色食品、无公害农产品认证企业内检员培训工作，把企业内检员作为认证企业申报的必要条件，规范和提升认证企业产品质量安全自我监管能力。</w:t>
      </w:r>
    </w:p>
    <w:p>
      <w:pPr>
        <w:spacing w:line="620" w:lineRule="exact"/>
        <w:ind w:firstLine="624" w:firstLineChars="200"/>
        <w:rPr>
          <w:szCs w:val="32"/>
        </w:rPr>
      </w:pPr>
      <w:r>
        <w:rPr>
          <w:rFonts w:hint="eastAsia" w:ascii="楷体_GB2312" w:eastAsia="楷体_GB2312"/>
          <w:b/>
          <w:szCs w:val="32"/>
        </w:rPr>
        <w:t>6. 落实民生工程奖补任务。</w:t>
      </w:r>
      <w:r>
        <w:rPr>
          <w:rFonts w:hint="eastAsia" w:ascii="仿宋_GB2312"/>
          <w:szCs w:val="32"/>
        </w:rPr>
        <w:t>根据《2018年农产品安全民生工程实施方案》，</w:t>
      </w:r>
      <w:r>
        <w:rPr>
          <w:rFonts w:hint="eastAsia" w:ascii="仿宋_GB2312" w:hAnsi="宋体"/>
          <w:szCs w:val="32"/>
        </w:rPr>
        <w:t>全市今年承担民生工程质量安全认证体系奖补任务132个，其中</w:t>
      </w:r>
      <w:r>
        <w:rPr>
          <w:rFonts w:hint="eastAsia" w:ascii="仿宋_GB2312"/>
          <w:szCs w:val="32"/>
        </w:rPr>
        <w:t>奖补无公害农产品认证主体32个、绿色食品认证主体69个、有机农产品认证主体29个、农产品地理标志认证主体</w:t>
      </w:r>
      <w:r>
        <w:rPr>
          <w:rFonts w:ascii="仿宋_GB2312"/>
          <w:szCs w:val="32"/>
        </w:rPr>
        <w:t>2</w:t>
      </w:r>
      <w:r>
        <w:rPr>
          <w:rFonts w:hint="eastAsia" w:ascii="仿宋_GB2312"/>
          <w:szCs w:val="32"/>
        </w:rPr>
        <w:t>个（各县区认证奖补计划数详见附件）。</w:t>
      </w:r>
      <w:r>
        <w:rPr>
          <w:rFonts w:hint="eastAsia"/>
          <w:szCs w:val="32"/>
        </w:rPr>
        <w:t>各县区要根据目标任务，结合“三品一标”产业发展工作，加强分类指导，</w:t>
      </w:r>
      <w:r>
        <w:rPr>
          <w:rFonts w:hint="eastAsia" w:ascii="仿宋_GB2312"/>
          <w:szCs w:val="32"/>
        </w:rPr>
        <w:t>按照民生工程项目管理要求，</w:t>
      </w:r>
      <w:r>
        <w:rPr>
          <w:rFonts w:hint="eastAsia" w:ascii="仿宋_GB2312" w:hAnsi="宋体"/>
          <w:szCs w:val="32"/>
        </w:rPr>
        <w:t>抓好任务落实</w:t>
      </w:r>
    </w:p>
    <w:p>
      <w:pPr>
        <w:spacing w:line="620" w:lineRule="exact"/>
        <w:ind w:firstLine="624" w:firstLineChars="200"/>
        <w:rPr>
          <w:rFonts w:ascii="黑体" w:hAnsi="黑体" w:eastAsia="黑体"/>
          <w:szCs w:val="32"/>
        </w:rPr>
      </w:pPr>
      <w:r>
        <w:rPr>
          <w:rFonts w:hint="eastAsia" w:ascii="黑体" w:hAnsi="黑体" w:eastAsia="黑体"/>
          <w:szCs w:val="32"/>
        </w:rPr>
        <w:t>二、强化监管，不断提高“三品一标”品牌公信力</w:t>
      </w:r>
    </w:p>
    <w:p>
      <w:pPr>
        <w:spacing w:line="620" w:lineRule="exact"/>
        <w:ind w:firstLine="624" w:firstLineChars="200"/>
        <w:rPr>
          <w:szCs w:val="32"/>
        </w:rPr>
      </w:pPr>
      <w:r>
        <w:rPr>
          <w:rFonts w:hint="eastAsia" w:ascii="楷体_GB2312" w:eastAsia="楷体_GB2312"/>
          <w:b/>
          <w:szCs w:val="32"/>
        </w:rPr>
        <w:t>7. 提高准入门槛。</w:t>
      </w:r>
      <w:r>
        <w:rPr>
          <w:rFonts w:hint="eastAsia"/>
          <w:szCs w:val="32"/>
        </w:rPr>
        <w:t>研究提高绿色食品种植类产品产地面积、养殖类产品养殖规模申报门槛。对审核中发现的风险高、问题多的申报主体及产品，加大现场核查力度。2018年8月1日起，将企业内检员作为绿色食品申报主体资质条件。对有机蔬菜等高风险项目进行认证前评估调研，不符合条件的不予受理。</w:t>
      </w:r>
    </w:p>
    <w:p>
      <w:pPr>
        <w:spacing w:line="620" w:lineRule="exact"/>
        <w:ind w:firstLine="624" w:firstLineChars="200"/>
        <w:rPr>
          <w:szCs w:val="32"/>
        </w:rPr>
      </w:pPr>
      <w:r>
        <w:rPr>
          <w:rFonts w:hint="eastAsia" w:ascii="楷体_GB2312" w:eastAsia="楷体_GB2312"/>
          <w:b/>
          <w:szCs w:val="32"/>
        </w:rPr>
        <w:t>8. 从严审查把关。</w:t>
      </w:r>
      <w:r>
        <w:rPr>
          <w:rFonts w:hint="eastAsia"/>
          <w:szCs w:val="32"/>
        </w:rPr>
        <w:t>突出绿色食品审查重点，严格现场检查，探索采用信息化技术手段以及第三方监督等措施，确保现场检查真实有效；继续规范有机农产品认证；强化农产品地理标志现场核查工作，切实把好材料审核关口。</w:t>
      </w:r>
    </w:p>
    <w:p>
      <w:pPr>
        <w:spacing w:line="620" w:lineRule="exact"/>
        <w:ind w:firstLine="624" w:firstLineChars="200"/>
        <w:rPr>
          <w:szCs w:val="32"/>
        </w:rPr>
      </w:pPr>
      <w:r>
        <w:rPr>
          <w:rFonts w:hint="eastAsia" w:ascii="楷体_GB2312" w:eastAsia="楷体_GB2312"/>
          <w:b/>
          <w:szCs w:val="32"/>
        </w:rPr>
        <w:t>9. 严格生产管控。</w:t>
      </w:r>
      <w:r>
        <w:rPr>
          <w:rFonts w:hint="eastAsia"/>
          <w:szCs w:val="32"/>
        </w:rPr>
        <w:t>深入推进化肥、农药使用量零增长行动，试点推广有机肥替代化肥，加强病虫害统防统治和全程绿色防控。规范使用农药、兽药、饲料添加剂等农业投入品，严格执行农业投入品使用安全间隔期或休药期规定。指导和督促生产经营者规范建立农产品生产记录台账，如实记载使用农业投入品的有关情况、动物疫病和植物病虫害的发生和防治情况，以及农产品收获、屠宰、捕捞的日期等情况。金寨县、裕安区要积极配合省绿办做好全程控制体系标准化生产基地创建工作。</w:t>
      </w:r>
    </w:p>
    <w:p>
      <w:pPr>
        <w:spacing w:line="620" w:lineRule="exact"/>
        <w:ind w:firstLine="624" w:firstLineChars="200"/>
        <w:rPr>
          <w:szCs w:val="32"/>
        </w:rPr>
      </w:pPr>
      <w:r>
        <w:rPr>
          <w:rFonts w:hint="eastAsia" w:ascii="楷体_GB2312" w:eastAsia="楷体_GB2312"/>
          <w:b/>
          <w:szCs w:val="32"/>
        </w:rPr>
        <w:t>10. 强化证后监管。</w:t>
      </w:r>
      <w:r>
        <w:rPr>
          <w:rFonts w:hint="eastAsia"/>
          <w:szCs w:val="32"/>
        </w:rPr>
        <w:t>根据本年度绿色食品企业年检计划，由各县区开展绿色食品企业和绿色食品原料标准化基地年检现场检查工作，对下一年度到期的绿色食品企业要重点检查，在作物生长或生产加工关键期留下检查痕迹，为企业顺利通过认证续展提供相关资料。落实好省绿办安排的绿色食品例行检测工作，各县区可以结合本地农产品质量安全监管等工作开展绿色食品质量抽检，抽检计划向本年度需要续展认证的企业倾斜，委托具有绿色食品产品检测资质的机构开展质量抽检，产品合格检测报告可以作为绿色食品续展时该产品免检依据，减轻企业负担。对生产经营单位年检、产品抽检不合格的，严格执行退出机制。</w:t>
      </w:r>
    </w:p>
    <w:p>
      <w:pPr>
        <w:spacing w:line="620" w:lineRule="exact"/>
        <w:ind w:firstLine="624" w:firstLineChars="200"/>
        <w:rPr>
          <w:szCs w:val="32"/>
        </w:rPr>
      </w:pPr>
      <w:r>
        <w:rPr>
          <w:rFonts w:hint="eastAsia" w:ascii="楷体_GB2312" w:eastAsia="楷体_GB2312"/>
          <w:b/>
          <w:szCs w:val="32"/>
        </w:rPr>
        <w:t>11. 推进质量追溯。</w:t>
      </w:r>
      <w:r>
        <w:rPr>
          <w:rFonts w:hint="eastAsia"/>
          <w:szCs w:val="32"/>
        </w:rPr>
        <w:t>率先在产地准出和市场注入衔接上开展试点，积极开展“三品一标”产地证明试点工作。优先在农产品质量安全县、“三品一标”大县开展追溯示范基地创建，引领产销对接。金寨县要配合省绿办做好中绿华夏有机食品认证中心认证的产品纳入省农产品质量安全与追溯平台，统一追溯编码，带编码上线、带标识上市，实现绿色有机农产品生产经营主体信息化管理、生产过程受控、质量信息在线展示、生产销售顺畅对接。</w:t>
      </w:r>
    </w:p>
    <w:p>
      <w:pPr>
        <w:spacing w:line="620" w:lineRule="exact"/>
        <w:ind w:firstLine="624" w:firstLineChars="200"/>
        <w:rPr>
          <w:rFonts w:ascii="黑体" w:hAnsi="黑体" w:eastAsia="黑体"/>
          <w:szCs w:val="32"/>
        </w:rPr>
      </w:pPr>
      <w:r>
        <w:rPr>
          <w:rFonts w:hint="eastAsia" w:ascii="黑体" w:hAnsi="黑体" w:eastAsia="黑体"/>
          <w:szCs w:val="32"/>
        </w:rPr>
        <w:t>三、延伸链条，不断扩大“三品一标”品牌效益</w:t>
      </w:r>
    </w:p>
    <w:p>
      <w:pPr>
        <w:spacing w:line="620" w:lineRule="exact"/>
        <w:ind w:firstLine="624" w:firstLineChars="200"/>
        <w:rPr>
          <w:szCs w:val="32"/>
        </w:rPr>
      </w:pPr>
      <w:r>
        <w:rPr>
          <w:rFonts w:hint="eastAsia" w:ascii="楷体_GB2312" w:eastAsia="楷体_GB2312"/>
          <w:b/>
          <w:szCs w:val="32"/>
        </w:rPr>
        <w:t>12. 加强原料基地建设。</w:t>
      </w:r>
      <w:r>
        <w:rPr>
          <w:rFonts w:hint="eastAsia"/>
          <w:szCs w:val="32"/>
        </w:rPr>
        <w:t>金寨县要积极对接推进绿色食品（茶叶）原料标准化基地验收工作，继续在全市范围内大力推动水稻、水果、蔬菜等绿色食品原料标准化基地创建。树立好霍邱县、舒城县、金安区、裕安区水稻和霍山县茶叶绿色食品原料标准化生产基地品牌，充分发挥绿色食品原料基地作用，加大绿色食品加工企业认证推进力度，开发绿色食品深加工产品，提升产业效益。落实基地年度检查和原料样品抽检等制度，强化基地属地管理职责，开展好绿色食品原料标准化生产基地续展工作。</w:t>
      </w:r>
    </w:p>
    <w:p>
      <w:pPr>
        <w:spacing w:line="620" w:lineRule="exact"/>
        <w:ind w:firstLine="624" w:firstLineChars="200"/>
        <w:rPr>
          <w:szCs w:val="32"/>
        </w:rPr>
      </w:pPr>
      <w:r>
        <w:rPr>
          <w:rFonts w:hint="eastAsia" w:ascii="楷体_GB2312" w:eastAsia="楷体_GB2312"/>
          <w:b/>
          <w:szCs w:val="32"/>
        </w:rPr>
        <w:t>13. 推进示范项目建设。</w:t>
      </w:r>
      <w:r>
        <w:rPr>
          <w:rFonts w:hint="eastAsia"/>
          <w:szCs w:val="32"/>
        </w:rPr>
        <w:t>舒城县要扎实推进全国首批绿色食品一二三产业融合发展示范园创建工作，使示范园区成为绿色食品、有机农产品优势发挥的平台、文化与形象展示窗口，标准化生产的样板。积极引导金寨、霍山等县区符合条件的企业或基地按照修订后的《有机农业示范基地管理办法》，以茶叶、中药材、有机鱼等为重点，开展有机农业示范基地申报创建，促进有机农业健康稳步发展。</w:t>
      </w:r>
    </w:p>
    <w:p>
      <w:pPr>
        <w:spacing w:line="620" w:lineRule="exact"/>
        <w:ind w:firstLine="624" w:firstLineChars="200"/>
        <w:rPr>
          <w:szCs w:val="32"/>
        </w:rPr>
      </w:pPr>
      <w:r>
        <w:rPr>
          <w:rFonts w:hint="eastAsia" w:ascii="楷体_GB2312" w:eastAsia="楷体_GB2312"/>
          <w:b/>
          <w:szCs w:val="32"/>
        </w:rPr>
        <w:t>14. 指导营销平台建设。</w:t>
      </w:r>
      <w:r>
        <w:rPr>
          <w:rFonts w:hint="eastAsia"/>
          <w:szCs w:val="32"/>
        </w:rPr>
        <w:t>指导经营单位建设“三品一标”农产品专营店、专柜，搭建专业营销平台。积极开拓专业营销网络，搭建线上线下交易平台。支持“三品一标”农产品专业电商平台建设，实现与获证企业有效对接。引导建立一支“三品一标”专业营销队伍，拓展市场，服务企业。</w:t>
      </w:r>
    </w:p>
    <w:p>
      <w:pPr>
        <w:spacing w:line="620" w:lineRule="exact"/>
        <w:ind w:firstLine="624" w:firstLineChars="200"/>
        <w:rPr>
          <w:szCs w:val="32"/>
        </w:rPr>
      </w:pPr>
      <w:r>
        <w:rPr>
          <w:rFonts w:hint="eastAsia" w:ascii="楷体_GB2312" w:eastAsia="楷体_GB2312"/>
          <w:b/>
          <w:szCs w:val="32"/>
        </w:rPr>
        <w:t>15. 加大品牌宣传力度。</w:t>
      </w:r>
      <w:r>
        <w:rPr>
          <w:rFonts w:hint="eastAsia"/>
          <w:szCs w:val="32"/>
        </w:rPr>
        <w:t>抓住“品牌提升年”机遇，积极组织“三品一标”认证企业参加厦门第十九届中国绿色食品博览会暨第十二届中国国际有机食品博览会、郑州中国国际农产品交易会地标产品专展、合肥农交会、上海农交会等展会</w:t>
      </w:r>
      <w:r>
        <w:rPr>
          <w:szCs w:val="32"/>
        </w:rPr>
        <w:t>，搞好品牌营销活动</w:t>
      </w:r>
      <w:r>
        <w:rPr>
          <w:rFonts w:hint="eastAsia"/>
          <w:szCs w:val="32"/>
        </w:rPr>
        <w:t>，</w:t>
      </w:r>
      <w:r>
        <w:rPr>
          <w:szCs w:val="32"/>
        </w:rPr>
        <w:t>加大品牌宣传推介力度</w:t>
      </w:r>
      <w:r>
        <w:rPr>
          <w:rFonts w:hint="eastAsia"/>
          <w:szCs w:val="32"/>
        </w:rPr>
        <w:t>。以“绿色生产、绿色消费、绿色发展”为主题，举办好“绿色食品宣传月”和</w:t>
      </w:r>
      <w:r>
        <w:rPr>
          <w:rFonts w:hint="eastAsia" w:ascii="仿宋_GB2312"/>
          <w:szCs w:val="32"/>
        </w:rPr>
        <w:t>绿色食品品牌故事征集</w:t>
      </w:r>
      <w:r>
        <w:rPr>
          <w:rFonts w:hint="eastAsia"/>
          <w:szCs w:val="32"/>
        </w:rPr>
        <w:t>等活动。积极参加大型纪录片《源味中国》、“世界知识产权日”农产品地理标志宣传活动，讲好绿色食品、中绿华夏有机品牌故事。积极参加省农委的“十强”农产品评选推广活动。</w:t>
      </w:r>
    </w:p>
    <w:p>
      <w:pPr>
        <w:spacing w:line="620" w:lineRule="exact"/>
        <w:ind w:firstLine="624" w:firstLineChars="200"/>
        <w:rPr>
          <w:rFonts w:ascii="黑体" w:hAnsi="黑体" w:eastAsia="黑体"/>
          <w:szCs w:val="32"/>
        </w:rPr>
      </w:pPr>
      <w:r>
        <w:rPr>
          <w:rFonts w:hint="eastAsia" w:ascii="黑体" w:hAnsi="黑体" w:eastAsia="黑体"/>
          <w:szCs w:val="32"/>
        </w:rPr>
        <w:t>四、夯实基础，不断提升“三品一标”队伍建设</w:t>
      </w:r>
    </w:p>
    <w:p>
      <w:pPr>
        <w:spacing w:line="620" w:lineRule="exact"/>
        <w:ind w:firstLine="624" w:firstLineChars="200"/>
        <w:rPr>
          <w:szCs w:val="32"/>
        </w:rPr>
      </w:pPr>
      <w:r>
        <w:rPr>
          <w:rFonts w:hint="eastAsia" w:ascii="楷体_GB2312" w:eastAsia="楷体_GB2312"/>
          <w:b/>
          <w:szCs w:val="32"/>
        </w:rPr>
        <w:t>16. 强化机构队伍建设。</w:t>
      </w:r>
      <w:r>
        <w:rPr>
          <w:rFonts w:hint="eastAsia"/>
          <w:szCs w:val="32"/>
        </w:rPr>
        <w:t>各县区要进一步压实申请受理、材料审核、现场检查、证后监管等工作责任。要按照工作要求，明确专门工作机构，配备专职工作人员和专业监管审查人员，严格把关，防范风险，切实担负起“三品一标”属地管理职能。各县区要积极推荐工作机构人员参加省绿办组织的认证监管员、检查员、核查员培训，充实工作机构专业人员队伍，积极参与省绿办“三品一标”认证专家组推荐，提升“三品一标”工作队伍能力水平。</w:t>
      </w:r>
    </w:p>
    <w:p>
      <w:pPr>
        <w:spacing w:line="620" w:lineRule="exact"/>
        <w:ind w:firstLine="624" w:firstLineChars="200"/>
        <w:rPr>
          <w:rFonts w:ascii="黑体" w:hAnsi="黑体" w:eastAsia="黑体"/>
          <w:szCs w:val="32"/>
        </w:rPr>
      </w:pPr>
    </w:p>
    <w:p>
      <w:pPr>
        <w:spacing w:line="620" w:lineRule="exact"/>
        <w:ind w:firstLine="624" w:firstLineChars="200"/>
        <w:rPr>
          <w:rFonts w:hint="eastAsia"/>
          <w:szCs w:val="32"/>
        </w:rPr>
      </w:pPr>
      <w:r>
        <w:rPr>
          <w:rFonts w:hint="eastAsia"/>
          <w:szCs w:val="32"/>
        </w:rPr>
        <w:t>附：</w:t>
      </w:r>
    </w:p>
    <w:p>
      <w:pPr>
        <w:spacing w:line="62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各县区2018年“三品一标”认证民生工程奖补计划</w:t>
      </w:r>
    </w:p>
    <w:p>
      <w:pPr>
        <w:widowControl/>
        <w:spacing w:line="540" w:lineRule="exact"/>
        <w:jc w:val="center"/>
        <w:rPr>
          <w:rFonts w:hAnsi="仿宋" w:eastAsia="仿宋"/>
          <w:kern w:val="0"/>
          <w:sz w:val="28"/>
          <w:szCs w:val="28"/>
        </w:rPr>
      </w:pPr>
    </w:p>
    <w:tbl>
      <w:tblPr>
        <w:tblStyle w:val="10"/>
        <w:tblW w:w="8471" w:type="dxa"/>
        <w:jc w:val="center"/>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288"/>
        <w:gridCol w:w="1370"/>
        <w:gridCol w:w="1370"/>
        <w:gridCol w:w="1371"/>
        <w:gridCol w:w="1559"/>
        <w:gridCol w:w="1513"/>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432" w:hRule="atLeast"/>
          <w:jc w:val="center"/>
        </w:trPr>
        <w:tc>
          <w:tcPr>
            <w:tcW w:w="1288" w:type="dxa"/>
            <w:tcBorders>
              <w:top w:val="single" w:color="000000" w:sz="8" w:space="0"/>
              <w:left w:val="single" w:color="000000" w:sz="8" w:space="0"/>
              <w:bottom w:val="single" w:color="000000" w:sz="6" w:space="0"/>
              <w:right w:val="single" w:color="000000" w:sz="6" w:space="0"/>
            </w:tcBorders>
            <w:vAlign w:val="center"/>
          </w:tcPr>
          <w:p>
            <w:pPr>
              <w:widowControl/>
              <w:spacing w:line="540" w:lineRule="exact"/>
              <w:jc w:val="center"/>
              <w:rPr>
                <w:rFonts w:eastAsia="仿宋"/>
                <w:b/>
                <w:bCs/>
                <w:kern w:val="0"/>
                <w:sz w:val="28"/>
                <w:szCs w:val="28"/>
              </w:rPr>
            </w:pPr>
            <w:r>
              <w:rPr>
                <w:rFonts w:hint="eastAsia" w:hAnsi="仿宋" w:eastAsia="仿宋"/>
                <w:b/>
                <w:bCs/>
                <w:kern w:val="0"/>
                <w:sz w:val="28"/>
                <w:szCs w:val="28"/>
              </w:rPr>
              <w:t>县区</w:t>
            </w:r>
          </w:p>
        </w:tc>
        <w:tc>
          <w:tcPr>
            <w:tcW w:w="1370" w:type="dxa"/>
            <w:tcBorders>
              <w:top w:val="single" w:color="000000" w:sz="8" w:space="0"/>
              <w:left w:val="single" w:color="000000" w:sz="6" w:space="0"/>
              <w:bottom w:val="single" w:color="000000" w:sz="6" w:space="0"/>
              <w:right w:val="single" w:color="000000" w:sz="6" w:space="0"/>
            </w:tcBorders>
            <w:vAlign w:val="center"/>
          </w:tcPr>
          <w:p>
            <w:pPr>
              <w:widowControl/>
              <w:spacing w:line="540" w:lineRule="exact"/>
              <w:jc w:val="center"/>
              <w:rPr>
                <w:rFonts w:eastAsia="仿宋"/>
                <w:b/>
                <w:bCs/>
                <w:kern w:val="0"/>
                <w:sz w:val="28"/>
                <w:szCs w:val="28"/>
              </w:rPr>
            </w:pPr>
            <w:r>
              <w:rPr>
                <w:rFonts w:hint="eastAsia" w:eastAsia="仿宋"/>
                <w:b/>
                <w:bCs/>
                <w:kern w:val="0"/>
                <w:sz w:val="28"/>
                <w:szCs w:val="28"/>
              </w:rPr>
              <w:t>无公害</w:t>
            </w:r>
          </w:p>
          <w:p>
            <w:pPr>
              <w:widowControl/>
              <w:spacing w:line="540" w:lineRule="exact"/>
              <w:jc w:val="center"/>
              <w:rPr>
                <w:rFonts w:eastAsia="仿宋"/>
                <w:b/>
                <w:bCs/>
                <w:kern w:val="0"/>
                <w:sz w:val="28"/>
                <w:szCs w:val="28"/>
              </w:rPr>
            </w:pPr>
            <w:r>
              <w:rPr>
                <w:rFonts w:hint="eastAsia" w:eastAsia="仿宋"/>
                <w:b/>
                <w:bCs/>
                <w:kern w:val="0"/>
                <w:sz w:val="28"/>
                <w:szCs w:val="28"/>
              </w:rPr>
              <w:t>农产品</w:t>
            </w:r>
          </w:p>
        </w:tc>
        <w:tc>
          <w:tcPr>
            <w:tcW w:w="1370" w:type="dxa"/>
            <w:tcBorders>
              <w:top w:val="single" w:color="000000" w:sz="8" w:space="0"/>
              <w:left w:val="single" w:color="000000" w:sz="6" w:space="0"/>
              <w:bottom w:val="single" w:color="000000" w:sz="6" w:space="0"/>
              <w:right w:val="single" w:color="000000" w:sz="6" w:space="0"/>
            </w:tcBorders>
            <w:vAlign w:val="center"/>
          </w:tcPr>
          <w:p>
            <w:pPr>
              <w:widowControl/>
              <w:spacing w:line="540" w:lineRule="exact"/>
              <w:jc w:val="center"/>
              <w:rPr>
                <w:rFonts w:eastAsia="仿宋"/>
                <w:b/>
                <w:bCs/>
                <w:kern w:val="0"/>
                <w:sz w:val="28"/>
                <w:szCs w:val="28"/>
              </w:rPr>
            </w:pPr>
            <w:r>
              <w:rPr>
                <w:rFonts w:hint="eastAsia" w:eastAsia="仿宋"/>
                <w:b/>
                <w:bCs/>
                <w:kern w:val="0"/>
                <w:sz w:val="28"/>
                <w:szCs w:val="28"/>
              </w:rPr>
              <w:t>绿色</w:t>
            </w:r>
          </w:p>
          <w:p>
            <w:pPr>
              <w:widowControl/>
              <w:spacing w:line="540" w:lineRule="exact"/>
              <w:jc w:val="center"/>
              <w:rPr>
                <w:rFonts w:eastAsia="仿宋"/>
                <w:b/>
                <w:bCs/>
                <w:kern w:val="0"/>
                <w:sz w:val="28"/>
                <w:szCs w:val="28"/>
              </w:rPr>
            </w:pPr>
            <w:r>
              <w:rPr>
                <w:rFonts w:hint="eastAsia" w:eastAsia="仿宋"/>
                <w:b/>
                <w:bCs/>
                <w:kern w:val="0"/>
                <w:sz w:val="28"/>
                <w:szCs w:val="28"/>
              </w:rPr>
              <w:t>食品</w:t>
            </w:r>
          </w:p>
        </w:tc>
        <w:tc>
          <w:tcPr>
            <w:tcW w:w="1371" w:type="dxa"/>
            <w:tcBorders>
              <w:top w:val="single" w:color="000000" w:sz="8" w:space="0"/>
              <w:left w:val="single" w:color="000000" w:sz="6" w:space="0"/>
              <w:bottom w:val="single" w:color="000000" w:sz="6" w:space="0"/>
              <w:right w:val="single" w:color="000000" w:sz="6" w:space="0"/>
            </w:tcBorders>
            <w:vAlign w:val="center"/>
          </w:tcPr>
          <w:p>
            <w:pPr>
              <w:widowControl/>
              <w:spacing w:line="540" w:lineRule="exact"/>
              <w:jc w:val="center"/>
              <w:rPr>
                <w:rFonts w:eastAsia="仿宋"/>
                <w:b/>
                <w:bCs/>
                <w:kern w:val="0"/>
                <w:sz w:val="28"/>
                <w:szCs w:val="28"/>
              </w:rPr>
            </w:pPr>
            <w:r>
              <w:rPr>
                <w:rFonts w:hint="eastAsia" w:eastAsia="仿宋"/>
                <w:b/>
                <w:bCs/>
                <w:kern w:val="0"/>
                <w:sz w:val="28"/>
                <w:szCs w:val="28"/>
              </w:rPr>
              <w:t>有机</w:t>
            </w:r>
          </w:p>
          <w:p>
            <w:pPr>
              <w:widowControl/>
              <w:spacing w:line="540" w:lineRule="exact"/>
              <w:jc w:val="center"/>
              <w:rPr>
                <w:rFonts w:eastAsia="仿宋"/>
                <w:b/>
                <w:bCs/>
                <w:kern w:val="0"/>
                <w:sz w:val="28"/>
                <w:szCs w:val="28"/>
              </w:rPr>
            </w:pPr>
            <w:r>
              <w:rPr>
                <w:rFonts w:hint="eastAsia" w:eastAsia="仿宋"/>
                <w:b/>
                <w:bCs/>
                <w:kern w:val="0"/>
                <w:sz w:val="28"/>
                <w:szCs w:val="28"/>
              </w:rPr>
              <w:t>农产品</w:t>
            </w:r>
          </w:p>
        </w:tc>
        <w:tc>
          <w:tcPr>
            <w:tcW w:w="1559" w:type="dxa"/>
            <w:tcBorders>
              <w:top w:val="single" w:color="000000" w:sz="8" w:space="0"/>
              <w:left w:val="single" w:color="000000" w:sz="6" w:space="0"/>
              <w:bottom w:val="single" w:color="000000" w:sz="6" w:space="0"/>
              <w:right w:val="single" w:color="000000" w:sz="6" w:space="0"/>
            </w:tcBorders>
            <w:vAlign w:val="center"/>
          </w:tcPr>
          <w:p>
            <w:pPr>
              <w:widowControl/>
              <w:spacing w:line="540" w:lineRule="exact"/>
              <w:jc w:val="center"/>
              <w:rPr>
                <w:rFonts w:hAnsi="仿宋" w:eastAsia="仿宋"/>
                <w:b/>
                <w:bCs/>
                <w:kern w:val="0"/>
                <w:sz w:val="28"/>
                <w:szCs w:val="28"/>
              </w:rPr>
            </w:pPr>
            <w:r>
              <w:rPr>
                <w:rFonts w:hint="eastAsia" w:hAnsi="仿宋" w:eastAsia="仿宋"/>
                <w:b/>
                <w:bCs/>
                <w:kern w:val="0"/>
                <w:sz w:val="28"/>
                <w:szCs w:val="28"/>
              </w:rPr>
              <w:t>农产品地理标志</w:t>
            </w:r>
          </w:p>
        </w:tc>
        <w:tc>
          <w:tcPr>
            <w:tcW w:w="1513" w:type="dxa"/>
            <w:tcBorders>
              <w:top w:val="single" w:color="000000" w:sz="8" w:space="0"/>
              <w:left w:val="single" w:color="000000" w:sz="6" w:space="0"/>
              <w:bottom w:val="single" w:color="000000" w:sz="6" w:space="0"/>
              <w:right w:val="single" w:color="000000" w:sz="8" w:space="0"/>
            </w:tcBorders>
            <w:vAlign w:val="center"/>
          </w:tcPr>
          <w:p>
            <w:pPr>
              <w:widowControl/>
              <w:spacing w:line="540" w:lineRule="exact"/>
              <w:jc w:val="center"/>
              <w:rPr>
                <w:rFonts w:hAnsi="仿宋" w:eastAsia="仿宋"/>
                <w:b/>
                <w:bCs/>
                <w:kern w:val="0"/>
                <w:sz w:val="28"/>
                <w:szCs w:val="28"/>
              </w:rPr>
            </w:pPr>
            <w:r>
              <w:rPr>
                <w:rFonts w:hint="eastAsia" w:hAnsi="仿宋" w:eastAsia="仿宋"/>
                <w:b/>
                <w:bCs/>
                <w:kern w:val="0"/>
                <w:sz w:val="28"/>
                <w:szCs w:val="28"/>
              </w:rPr>
              <w:t>企业数（家）</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432" w:hRule="atLeast"/>
          <w:jc w:val="center"/>
        </w:trPr>
        <w:tc>
          <w:tcPr>
            <w:tcW w:w="1288" w:type="dxa"/>
            <w:tcBorders>
              <w:top w:val="single" w:color="000000" w:sz="6" w:space="0"/>
              <w:left w:val="single" w:color="000000" w:sz="8" w:space="0"/>
              <w:bottom w:val="single" w:color="000000" w:sz="6" w:space="0"/>
              <w:right w:val="single" w:color="000000" w:sz="6" w:space="0"/>
            </w:tcBorders>
            <w:vAlign w:val="center"/>
          </w:tcPr>
          <w:p>
            <w:pPr>
              <w:widowControl/>
              <w:spacing w:line="540" w:lineRule="exact"/>
              <w:jc w:val="center"/>
              <w:rPr>
                <w:rFonts w:eastAsia="仿宋"/>
                <w:kern w:val="0"/>
                <w:sz w:val="28"/>
                <w:szCs w:val="28"/>
              </w:rPr>
            </w:pPr>
            <w:r>
              <w:rPr>
                <w:rFonts w:hint="eastAsia" w:hAnsi="仿宋" w:eastAsia="仿宋"/>
                <w:kern w:val="0"/>
                <w:sz w:val="28"/>
                <w:szCs w:val="28"/>
              </w:rPr>
              <w:t>金安区</w:t>
            </w:r>
          </w:p>
        </w:tc>
        <w:tc>
          <w:tcPr>
            <w:tcW w:w="1370" w:type="dxa"/>
            <w:tcBorders>
              <w:top w:val="single" w:color="000000" w:sz="6" w:space="0"/>
              <w:left w:val="single" w:color="000000" w:sz="6" w:space="0"/>
              <w:bottom w:val="single" w:color="000000" w:sz="6" w:space="0"/>
              <w:right w:val="single" w:color="000000" w:sz="6" w:space="0"/>
            </w:tcBorders>
            <w:vAlign w:val="center"/>
          </w:tcPr>
          <w:p>
            <w:pPr>
              <w:jc w:val="center"/>
              <w:rPr>
                <w:color w:val="000000"/>
                <w:sz w:val="28"/>
                <w:szCs w:val="28"/>
              </w:rPr>
            </w:pPr>
            <w:r>
              <w:rPr>
                <w:rFonts w:hint="eastAsia"/>
                <w:color w:val="000000"/>
                <w:sz w:val="28"/>
                <w:szCs w:val="28"/>
              </w:rPr>
              <w:t>5</w:t>
            </w:r>
          </w:p>
        </w:tc>
        <w:tc>
          <w:tcPr>
            <w:tcW w:w="1370" w:type="dxa"/>
            <w:tcBorders>
              <w:top w:val="single" w:color="000000" w:sz="6" w:space="0"/>
              <w:left w:val="single" w:color="000000" w:sz="6" w:space="0"/>
              <w:bottom w:val="single" w:color="000000" w:sz="6" w:space="0"/>
              <w:right w:val="single" w:color="000000" w:sz="6" w:space="0"/>
            </w:tcBorders>
            <w:vAlign w:val="center"/>
          </w:tcPr>
          <w:p>
            <w:pPr>
              <w:jc w:val="center"/>
              <w:rPr>
                <w:color w:val="000000"/>
                <w:sz w:val="28"/>
                <w:szCs w:val="28"/>
              </w:rPr>
            </w:pPr>
            <w:r>
              <w:rPr>
                <w:rFonts w:hint="eastAsia"/>
                <w:color w:val="000000"/>
                <w:sz w:val="28"/>
                <w:szCs w:val="28"/>
              </w:rPr>
              <w:t>18</w:t>
            </w:r>
          </w:p>
        </w:tc>
        <w:tc>
          <w:tcPr>
            <w:tcW w:w="1371" w:type="dxa"/>
            <w:tcBorders>
              <w:top w:val="single" w:color="000000" w:sz="6" w:space="0"/>
              <w:left w:val="single" w:color="000000" w:sz="6" w:space="0"/>
              <w:bottom w:val="single" w:color="000000" w:sz="6" w:space="0"/>
              <w:right w:val="single" w:color="000000" w:sz="6" w:space="0"/>
            </w:tcBorders>
            <w:vAlign w:val="center"/>
          </w:tcPr>
          <w:p>
            <w:pPr>
              <w:jc w:val="center"/>
              <w:rPr>
                <w:color w:val="000000"/>
                <w:sz w:val="28"/>
                <w:szCs w:val="28"/>
              </w:rPr>
            </w:pPr>
            <w:r>
              <w:rPr>
                <w:rFonts w:hint="eastAsia"/>
                <w:color w:val="000000"/>
                <w:sz w:val="28"/>
                <w:szCs w:val="28"/>
              </w:rPr>
              <w:t>3</w:t>
            </w:r>
          </w:p>
        </w:tc>
        <w:tc>
          <w:tcPr>
            <w:tcW w:w="1559" w:type="dxa"/>
            <w:tcBorders>
              <w:top w:val="single" w:color="000000" w:sz="6" w:space="0"/>
              <w:left w:val="single" w:color="000000" w:sz="6" w:space="0"/>
              <w:bottom w:val="single" w:color="000000" w:sz="6" w:space="0"/>
              <w:right w:val="single" w:color="000000" w:sz="6" w:space="0"/>
            </w:tcBorders>
            <w:vAlign w:val="center"/>
          </w:tcPr>
          <w:p>
            <w:pPr>
              <w:widowControl/>
              <w:spacing w:line="540" w:lineRule="exact"/>
              <w:jc w:val="center"/>
              <w:rPr>
                <w:rFonts w:eastAsia="仿宋"/>
                <w:kern w:val="0"/>
                <w:sz w:val="28"/>
                <w:szCs w:val="28"/>
              </w:rPr>
            </w:pPr>
          </w:p>
        </w:tc>
        <w:tc>
          <w:tcPr>
            <w:tcW w:w="1513" w:type="dxa"/>
            <w:tcBorders>
              <w:top w:val="single" w:color="000000" w:sz="6" w:space="0"/>
              <w:left w:val="single" w:color="000000" w:sz="6" w:space="0"/>
              <w:bottom w:val="single" w:color="000000" w:sz="6" w:space="0"/>
              <w:right w:val="single" w:color="000000" w:sz="8" w:space="0"/>
            </w:tcBorders>
            <w:vAlign w:val="center"/>
          </w:tcPr>
          <w:p>
            <w:pPr>
              <w:widowControl/>
              <w:spacing w:line="540" w:lineRule="exact"/>
              <w:jc w:val="center"/>
              <w:rPr>
                <w:rFonts w:eastAsia="仿宋"/>
                <w:kern w:val="0"/>
                <w:sz w:val="28"/>
                <w:szCs w:val="28"/>
              </w:rPr>
            </w:pPr>
            <w:r>
              <w:rPr>
                <w:rFonts w:hint="eastAsia" w:eastAsia="仿宋"/>
                <w:kern w:val="0"/>
                <w:sz w:val="28"/>
                <w:szCs w:val="28"/>
              </w:rPr>
              <w:t>26</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432" w:hRule="atLeast"/>
          <w:jc w:val="center"/>
        </w:trPr>
        <w:tc>
          <w:tcPr>
            <w:tcW w:w="1288" w:type="dxa"/>
            <w:tcBorders>
              <w:top w:val="single" w:color="000000" w:sz="6" w:space="0"/>
              <w:left w:val="single" w:color="000000" w:sz="8" w:space="0"/>
              <w:bottom w:val="single" w:color="000000" w:sz="6" w:space="0"/>
              <w:right w:val="single" w:color="000000" w:sz="6" w:space="0"/>
            </w:tcBorders>
            <w:vAlign w:val="center"/>
          </w:tcPr>
          <w:p>
            <w:pPr>
              <w:widowControl/>
              <w:spacing w:line="540" w:lineRule="exact"/>
              <w:jc w:val="center"/>
              <w:rPr>
                <w:rFonts w:eastAsia="仿宋"/>
                <w:kern w:val="0"/>
                <w:sz w:val="28"/>
                <w:szCs w:val="28"/>
              </w:rPr>
            </w:pPr>
            <w:r>
              <w:rPr>
                <w:rFonts w:hint="eastAsia" w:hAnsi="仿宋" w:eastAsia="仿宋"/>
                <w:kern w:val="0"/>
                <w:sz w:val="28"/>
                <w:szCs w:val="28"/>
              </w:rPr>
              <w:t>裕安区</w:t>
            </w:r>
          </w:p>
        </w:tc>
        <w:tc>
          <w:tcPr>
            <w:tcW w:w="1370" w:type="dxa"/>
            <w:tcBorders>
              <w:top w:val="single" w:color="000000" w:sz="6" w:space="0"/>
              <w:left w:val="single" w:color="000000" w:sz="6" w:space="0"/>
              <w:bottom w:val="single" w:color="000000" w:sz="6" w:space="0"/>
              <w:right w:val="single" w:color="000000" w:sz="6" w:space="0"/>
            </w:tcBorders>
            <w:vAlign w:val="center"/>
          </w:tcPr>
          <w:p>
            <w:pPr>
              <w:jc w:val="center"/>
              <w:rPr>
                <w:color w:val="000000"/>
                <w:sz w:val="28"/>
                <w:szCs w:val="28"/>
              </w:rPr>
            </w:pPr>
            <w:r>
              <w:rPr>
                <w:rFonts w:hint="eastAsia"/>
                <w:color w:val="000000"/>
                <w:sz w:val="28"/>
                <w:szCs w:val="28"/>
              </w:rPr>
              <w:t>3</w:t>
            </w:r>
          </w:p>
        </w:tc>
        <w:tc>
          <w:tcPr>
            <w:tcW w:w="1370" w:type="dxa"/>
            <w:tcBorders>
              <w:top w:val="single" w:color="000000" w:sz="6" w:space="0"/>
              <w:left w:val="single" w:color="000000" w:sz="6" w:space="0"/>
              <w:bottom w:val="single" w:color="000000" w:sz="6" w:space="0"/>
              <w:right w:val="single" w:color="000000" w:sz="6" w:space="0"/>
            </w:tcBorders>
            <w:vAlign w:val="center"/>
          </w:tcPr>
          <w:p>
            <w:pPr>
              <w:jc w:val="center"/>
              <w:rPr>
                <w:color w:val="000000"/>
                <w:sz w:val="28"/>
                <w:szCs w:val="28"/>
              </w:rPr>
            </w:pPr>
            <w:r>
              <w:rPr>
                <w:rFonts w:hint="eastAsia"/>
                <w:color w:val="000000"/>
                <w:sz w:val="28"/>
                <w:szCs w:val="28"/>
              </w:rPr>
              <w:t>18</w:t>
            </w:r>
          </w:p>
        </w:tc>
        <w:tc>
          <w:tcPr>
            <w:tcW w:w="1371" w:type="dxa"/>
            <w:tcBorders>
              <w:top w:val="single" w:color="000000" w:sz="6" w:space="0"/>
              <w:left w:val="single" w:color="000000" w:sz="6" w:space="0"/>
              <w:bottom w:val="single" w:color="000000" w:sz="6" w:space="0"/>
              <w:right w:val="single" w:color="000000" w:sz="6" w:space="0"/>
            </w:tcBorders>
            <w:vAlign w:val="center"/>
          </w:tcPr>
          <w:p>
            <w:pPr>
              <w:jc w:val="center"/>
              <w:rPr>
                <w:color w:val="000000"/>
                <w:sz w:val="28"/>
                <w:szCs w:val="28"/>
              </w:rPr>
            </w:pPr>
          </w:p>
        </w:tc>
        <w:tc>
          <w:tcPr>
            <w:tcW w:w="1559" w:type="dxa"/>
            <w:tcBorders>
              <w:top w:val="single" w:color="000000" w:sz="6" w:space="0"/>
              <w:left w:val="single" w:color="000000" w:sz="6" w:space="0"/>
              <w:bottom w:val="single" w:color="000000" w:sz="6" w:space="0"/>
              <w:right w:val="single" w:color="000000" w:sz="6" w:space="0"/>
            </w:tcBorders>
            <w:vAlign w:val="center"/>
          </w:tcPr>
          <w:p>
            <w:pPr>
              <w:widowControl/>
              <w:spacing w:line="540" w:lineRule="exact"/>
              <w:jc w:val="center"/>
              <w:rPr>
                <w:rFonts w:eastAsia="仿宋"/>
                <w:kern w:val="0"/>
                <w:sz w:val="28"/>
                <w:szCs w:val="28"/>
              </w:rPr>
            </w:pPr>
          </w:p>
        </w:tc>
        <w:tc>
          <w:tcPr>
            <w:tcW w:w="1513" w:type="dxa"/>
            <w:tcBorders>
              <w:top w:val="single" w:color="000000" w:sz="6" w:space="0"/>
              <w:left w:val="single" w:color="000000" w:sz="6" w:space="0"/>
              <w:bottom w:val="single" w:color="000000" w:sz="6" w:space="0"/>
              <w:right w:val="single" w:color="000000" w:sz="8" w:space="0"/>
            </w:tcBorders>
            <w:vAlign w:val="center"/>
          </w:tcPr>
          <w:p>
            <w:pPr>
              <w:widowControl/>
              <w:spacing w:line="540" w:lineRule="exact"/>
              <w:jc w:val="center"/>
              <w:rPr>
                <w:rFonts w:eastAsia="仿宋"/>
                <w:kern w:val="0"/>
                <w:sz w:val="28"/>
                <w:szCs w:val="28"/>
              </w:rPr>
            </w:pPr>
            <w:r>
              <w:rPr>
                <w:rFonts w:hint="eastAsia" w:eastAsia="仿宋"/>
                <w:kern w:val="0"/>
                <w:sz w:val="28"/>
                <w:szCs w:val="28"/>
              </w:rPr>
              <w:t>21</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432" w:hRule="atLeast"/>
          <w:jc w:val="center"/>
        </w:trPr>
        <w:tc>
          <w:tcPr>
            <w:tcW w:w="1288" w:type="dxa"/>
            <w:tcBorders>
              <w:top w:val="single" w:color="000000" w:sz="6" w:space="0"/>
              <w:left w:val="single" w:color="000000" w:sz="8" w:space="0"/>
              <w:bottom w:val="single" w:color="000000" w:sz="6" w:space="0"/>
              <w:right w:val="single" w:color="000000" w:sz="6" w:space="0"/>
            </w:tcBorders>
            <w:vAlign w:val="center"/>
          </w:tcPr>
          <w:p>
            <w:pPr>
              <w:widowControl/>
              <w:spacing w:line="540" w:lineRule="exact"/>
              <w:jc w:val="center"/>
              <w:rPr>
                <w:rFonts w:eastAsia="仿宋"/>
                <w:kern w:val="0"/>
                <w:sz w:val="28"/>
                <w:szCs w:val="28"/>
              </w:rPr>
            </w:pPr>
            <w:r>
              <w:rPr>
                <w:rFonts w:hint="eastAsia" w:hAnsi="仿宋" w:eastAsia="仿宋"/>
                <w:kern w:val="0"/>
                <w:sz w:val="28"/>
                <w:szCs w:val="28"/>
              </w:rPr>
              <w:t>叶集区</w:t>
            </w:r>
          </w:p>
        </w:tc>
        <w:tc>
          <w:tcPr>
            <w:tcW w:w="1370" w:type="dxa"/>
            <w:tcBorders>
              <w:top w:val="single" w:color="000000" w:sz="6" w:space="0"/>
              <w:left w:val="single" w:color="000000" w:sz="6" w:space="0"/>
              <w:bottom w:val="single" w:color="000000" w:sz="6" w:space="0"/>
              <w:right w:val="single" w:color="000000" w:sz="6" w:space="0"/>
            </w:tcBorders>
            <w:vAlign w:val="center"/>
          </w:tcPr>
          <w:p>
            <w:pPr>
              <w:jc w:val="center"/>
              <w:rPr>
                <w:color w:val="000000"/>
                <w:sz w:val="28"/>
                <w:szCs w:val="28"/>
              </w:rPr>
            </w:pPr>
            <w:r>
              <w:rPr>
                <w:rFonts w:hint="eastAsia"/>
                <w:color w:val="000000"/>
                <w:sz w:val="28"/>
                <w:szCs w:val="28"/>
              </w:rPr>
              <w:t>1</w:t>
            </w:r>
          </w:p>
        </w:tc>
        <w:tc>
          <w:tcPr>
            <w:tcW w:w="1370" w:type="dxa"/>
            <w:tcBorders>
              <w:top w:val="single" w:color="000000" w:sz="6" w:space="0"/>
              <w:left w:val="single" w:color="000000" w:sz="6" w:space="0"/>
              <w:bottom w:val="single" w:color="000000" w:sz="6" w:space="0"/>
              <w:right w:val="single" w:color="000000" w:sz="6" w:space="0"/>
            </w:tcBorders>
            <w:vAlign w:val="center"/>
          </w:tcPr>
          <w:p>
            <w:pPr>
              <w:jc w:val="center"/>
              <w:rPr>
                <w:color w:val="000000"/>
                <w:sz w:val="28"/>
                <w:szCs w:val="28"/>
              </w:rPr>
            </w:pPr>
            <w:r>
              <w:rPr>
                <w:rFonts w:hint="eastAsia"/>
                <w:color w:val="000000"/>
                <w:sz w:val="28"/>
                <w:szCs w:val="28"/>
              </w:rPr>
              <w:t>1</w:t>
            </w:r>
          </w:p>
        </w:tc>
        <w:tc>
          <w:tcPr>
            <w:tcW w:w="1371" w:type="dxa"/>
            <w:tcBorders>
              <w:top w:val="single" w:color="000000" w:sz="6" w:space="0"/>
              <w:left w:val="single" w:color="000000" w:sz="6" w:space="0"/>
              <w:bottom w:val="single" w:color="000000" w:sz="6" w:space="0"/>
              <w:right w:val="single" w:color="000000" w:sz="6" w:space="0"/>
            </w:tcBorders>
            <w:vAlign w:val="center"/>
          </w:tcPr>
          <w:p>
            <w:pPr>
              <w:jc w:val="center"/>
              <w:rPr>
                <w:color w:val="000000"/>
                <w:sz w:val="28"/>
                <w:szCs w:val="28"/>
              </w:rPr>
            </w:pPr>
            <w:r>
              <w:rPr>
                <w:rFonts w:hint="eastAsia"/>
                <w:color w:val="000000"/>
                <w:sz w:val="28"/>
                <w:szCs w:val="28"/>
              </w:rPr>
              <w:t>2</w:t>
            </w:r>
          </w:p>
        </w:tc>
        <w:tc>
          <w:tcPr>
            <w:tcW w:w="1559" w:type="dxa"/>
            <w:tcBorders>
              <w:top w:val="single" w:color="000000" w:sz="6" w:space="0"/>
              <w:left w:val="single" w:color="000000" w:sz="6" w:space="0"/>
              <w:bottom w:val="single" w:color="000000" w:sz="6" w:space="0"/>
              <w:right w:val="single" w:color="000000" w:sz="6" w:space="0"/>
            </w:tcBorders>
            <w:vAlign w:val="center"/>
          </w:tcPr>
          <w:p>
            <w:pPr>
              <w:widowControl/>
              <w:spacing w:line="540" w:lineRule="exact"/>
              <w:jc w:val="center"/>
              <w:rPr>
                <w:rFonts w:eastAsia="仿宋"/>
                <w:kern w:val="0"/>
                <w:sz w:val="28"/>
                <w:szCs w:val="28"/>
              </w:rPr>
            </w:pPr>
          </w:p>
        </w:tc>
        <w:tc>
          <w:tcPr>
            <w:tcW w:w="1513" w:type="dxa"/>
            <w:tcBorders>
              <w:top w:val="single" w:color="000000" w:sz="6" w:space="0"/>
              <w:left w:val="single" w:color="000000" w:sz="6" w:space="0"/>
              <w:bottom w:val="single" w:color="000000" w:sz="6" w:space="0"/>
              <w:right w:val="single" w:color="000000" w:sz="8" w:space="0"/>
            </w:tcBorders>
            <w:vAlign w:val="center"/>
          </w:tcPr>
          <w:p>
            <w:pPr>
              <w:widowControl/>
              <w:spacing w:line="540" w:lineRule="exact"/>
              <w:jc w:val="center"/>
              <w:rPr>
                <w:rFonts w:eastAsia="仿宋"/>
                <w:kern w:val="0"/>
                <w:sz w:val="28"/>
                <w:szCs w:val="28"/>
              </w:rPr>
            </w:pPr>
            <w:r>
              <w:rPr>
                <w:rFonts w:hint="eastAsia" w:eastAsia="仿宋"/>
                <w:kern w:val="0"/>
                <w:sz w:val="28"/>
                <w:szCs w:val="28"/>
              </w:rPr>
              <w:t>4</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432" w:hRule="atLeast"/>
          <w:jc w:val="center"/>
        </w:trPr>
        <w:tc>
          <w:tcPr>
            <w:tcW w:w="1288" w:type="dxa"/>
            <w:tcBorders>
              <w:top w:val="single" w:color="000000" w:sz="6" w:space="0"/>
              <w:left w:val="single" w:color="000000" w:sz="8" w:space="0"/>
              <w:bottom w:val="single" w:color="000000" w:sz="6" w:space="0"/>
              <w:right w:val="single" w:color="000000" w:sz="6" w:space="0"/>
            </w:tcBorders>
            <w:vAlign w:val="center"/>
          </w:tcPr>
          <w:p>
            <w:pPr>
              <w:widowControl/>
              <w:spacing w:line="540" w:lineRule="exact"/>
              <w:jc w:val="center"/>
              <w:rPr>
                <w:rFonts w:eastAsia="仿宋"/>
                <w:kern w:val="0"/>
                <w:sz w:val="28"/>
                <w:szCs w:val="28"/>
              </w:rPr>
            </w:pPr>
            <w:r>
              <w:rPr>
                <w:rFonts w:hint="eastAsia" w:hAnsi="仿宋" w:eastAsia="仿宋"/>
                <w:kern w:val="0"/>
                <w:sz w:val="28"/>
                <w:szCs w:val="28"/>
              </w:rPr>
              <w:t>霍邱县</w:t>
            </w:r>
          </w:p>
        </w:tc>
        <w:tc>
          <w:tcPr>
            <w:tcW w:w="1370" w:type="dxa"/>
            <w:tcBorders>
              <w:top w:val="single" w:color="000000" w:sz="6" w:space="0"/>
              <w:left w:val="single" w:color="000000" w:sz="6" w:space="0"/>
              <w:bottom w:val="single" w:color="000000" w:sz="6" w:space="0"/>
              <w:right w:val="single" w:color="000000" w:sz="6" w:space="0"/>
            </w:tcBorders>
            <w:vAlign w:val="center"/>
          </w:tcPr>
          <w:p>
            <w:pPr>
              <w:jc w:val="center"/>
              <w:rPr>
                <w:color w:val="000000"/>
                <w:sz w:val="28"/>
                <w:szCs w:val="28"/>
              </w:rPr>
            </w:pPr>
            <w:r>
              <w:rPr>
                <w:rFonts w:hint="eastAsia"/>
                <w:color w:val="000000"/>
                <w:sz w:val="28"/>
                <w:szCs w:val="28"/>
              </w:rPr>
              <w:t>5</w:t>
            </w:r>
          </w:p>
        </w:tc>
        <w:tc>
          <w:tcPr>
            <w:tcW w:w="1370" w:type="dxa"/>
            <w:tcBorders>
              <w:top w:val="single" w:color="000000" w:sz="6" w:space="0"/>
              <w:left w:val="single" w:color="000000" w:sz="6" w:space="0"/>
              <w:bottom w:val="single" w:color="000000" w:sz="6" w:space="0"/>
              <w:right w:val="single" w:color="000000" w:sz="6" w:space="0"/>
            </w:tcBorders>
            <w:vAlign w:val="center"/>
          </w:tcPr>
          <w:p>
            <w:pPr>
              <w:jc w:val="center"/>
              <w:rPr>
                <w:color w:val="000000"/>
                <w:sz w:val="28"/>
                <w:szCs w:val="28"/>
              </w:rPr>
            </w:pPr>
            <w:r>
              <w:rPr>
                <w:rFonts w:hint="eastAsia"/>
                <w:color w:val="000000"/>
                <w:sz w:val="28"/>
                <w:szCs w:val="28"/>
              </w:rPr>
              <w:t>10</w:t>
            </w:r>
          </w:p>
        </w:tc>
        <w:tc>
          <w:tcPr>
            <w:tcW w:w="1371" w:type="dxa"/>
            <w:tcBorders>
              <w:top w:val="single" w:color="000000" w:sz="6" w:space="0"/>
              <w:left w:val="single" w:color="000000" w:sz="6" w:space="0"/>
              <w:bottom w:val="single" w:color="000000" w:sz="6" w:space="0"/>
              <w:right w:val="single" w:color="000000" w:sz="6" w:space="0"/>
            </w:tcBorders>
            <w:vAlign w:val="center"/>
          </w:tcPr>
          <w:p>
            <w:pPr>
              <w:jc w:val="center"/>
              <w:rPr>
                <w:color w:val="000000"/>
                <w:sz w:val="28"/>
                <w:szCs w:val="28"/>
              </w:rPr>
            </w:pPr>
            <w:r>
              <w:rPr>
                <w:rFonts w:hint="eastAsia"/>
                <w:color w:val="000000"/>
                <w:sz w:val="28"/>
                <w:szCs w:val="28"/>
              </w:rPr>
              <w:t>1</w:t>
            </w:r>
          </w:p>
        </w:tc>
        <w:tc>
          <w:tcPr>
            <w:tcW w:w="1559" w:type="dxa"/>
            <w:tcBorders>
              <w:top w:val="single" w:color="000000" w:sz="6" w:space="0"/>
              <w:left w:val="single" w:color="000000" w:sz="6" w:space="0"/>
              <w:bottom w:val="single" w:color="000000" w:sz="6" w:space="0"/>
              <w:right w:val="single" w:color="000000" w:sz="6" w:space="0"/>
            </w:tcBorders>
            <w:vAlign w:val="center"/>
          </w:tcPr>
          <w:p>
            <w:pPr>
              <w:widowControl/>
              <w:spacing w:line="540" w:lineRule="exact"/>
              <w:jc w:val="center"/>
              <w:rPr>
                <w:rFonts w:eastAsia="仿宋"/>
                <w:kern w:val="0"/>
                <w:sz w:val="28"/>
                <w:szCs w:val="28"/>
              </w:rPr>
            </w:pPr>
          </w:p>
        </w:tc>
        <w:tc>
          <w:tcPr>
            <w:tcW w:w="1513" w:type="dxa"/>
            <w:tcBorders>
              <w:top w:val="single" w:color="000000" w:sz="6" w:space="0"/>
              <w:left w:val="single" w:color="000000" w:sz="6" w:space="0"/>
              <w:bottom w:val="single" w:color="000000" w:sz="6" w:space="0"/>
              <w:right w:val="single" w:color="000000" w:sz="8" w:space="0"/>
            </w:tcBorders>
            <w:vAlign w:val="center"/>
          </w:tcPr>
          <w:p>
            <w:pPr>
              <w:widowControl/>
              <w:spacing w:line="540" w:lineRule="exact"/>
              <w:jc w:val="center"/>
              <w:rPr>
                <w:rFonts w:eastAsia="仿宋"/>
                <w:kern w:val="0"/>
                <w:sz w:val="28"/>
                <w:szCs w:val="28"/>
              </w:rPr>
            </w:pPr>
            <w:r>
              <w:rPr>
                <w:rFonts w:hint="eastAsia" w:eastAsia="仿宋"/>
                <w:kern w:val="0"/>
                <w:sz w:val="28"/>
                <w:szCs w:val="28"/>
              </w:rPr>
              <w:t>16</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432" w:hRule="atLeast"/>
          <w:jc w:val="center"/>
        </w:trPr>
        <w:tc>
          <w:tcPr>
            <w:tcW w:w="1288" w:type="dxa"/>
            <w:tcBorders>
              <w:top w:val="single" w:color="000000" w:sz="6" w:space="0"/>
              <w:left w:val="single" w:color="000000" w:sz="8" w:space="0"/>
              <w:bottom w:val="single" w:color="000000" w:sz="6" w:space="0"/>
              <w:right w:val="single" w:color="000000" w:sz="6" w:space="0"/>
            </w:tcBorders>
            <w:vAlign w:val="center"/>
          </w:tcPr>
          <w:p>
            <w:pPr>
              <w:widowControl/>
              <w:spacing w:line="540" w:lineRule="exact"/>
              <w:jc w:val="center"/>
              <w:rPr>
                <w:rFonts w:eastAsia="仿宋"/>
                <w:kern w:val="0"/>
                <w:sz w:val="28"/>
                <w:szCs w:val="28"/>
              </w:rPr>
            </w:pPr>
            <w:r>
              <w:rPr>
                <w:rFonts w:hint="eastAsia" w:hAnsi="仿宋" w:eastAsia="仿宋"/>
                <w:kern w:val="0"/>
                <w:sz w:val="28"/>
                <w:szCs w:val="28"/>
              </w:rPr>
              <w:t>舒城县</w:t>
            </w:r>
          </w:p>
        </w:tc>
        <w:tc>
          <w:tcPr>
            <w:tcW w:w="1370" w:type="dxa"/>
            <w:tcBorders>
              <w:top w:val="single" w:color="000000" w:sz="6" w:space="0"/>
              <w:left w:val="single" w:color="000000" w:sz="6" w:space="0"/>
              <w:bottom w:val="single" w:color="000000" w:sz="6" w:space="0"/>
              <w:right w:val="single" w:color="000000" w:sz="6" w:space="0"/>
            </w:tcBorders>
            <w:vAlign w:val="center"/>
          </w:tcPr>
          <w:p>
            <w:pPr>
              <w:jc w:val="center"/>
              <w:rPr>
                <w:color w:val="000000"/>
                <w:sz w:val="28"/>
                <w:szCs w:val="28"/>
              </w:rPr>
            </w:pPr>
            <w:r>
              <w:rPr>
                <w:rFonts w:hint="eastAsia"/>
                <w:color w:val="000000"/>
                <w:sz w:val="28"/>
                <w:szCs w:val="28"/>
              </w:rPr>
              <w:t>7</w:t>
            </w:r>
          </w:p>
        </w:tc>
        <w:tc>
          <w:tcPr>
            <w:tcW w:w="1370" w:type="dxa"/>
            <w:tcBorders>
              <w:top w:val="single" w:color="000000" w:sz="6" w:space="0"/>
              <w:left w:val="single" w:color="000000" w:sz="6" w:space="0"/>
              <w:bottom w:val="single" w:color="000000" w:sz="6" w:space="0"/>
              <w:right w:val="single" w:color="000000" w:sz="6" w:space="0"/>
            </w:tcBorders>
            <w:vAlign w:val="center"/>
          </w:tcPr>
          <w:p>
            <w:pPr>
              <w:jc w:val="center"/>
              <w:rPr>
                <w:color w:val="000000"/>
                <w:sz w:val="28"/>
                <w:szCs w:val="28"/>
              </w:rPr>
            </w:pPr>
            <w:r>
              <w:rPr>
                <w:rFonts w:hint="eastAsia"/>
                <w:color w:val="000000"/>
                <w:sz w:val="28"/>
                <w:szCs w:val="28"/>
              </w:rPr>
              <w:t>7</w:t>
            </w:r>
          </w:p>
        </w:tc>
        <w:tc>
          <w:tcPr>
            <w:tcW w:w="1371" w:type="dxa"/>
            <w:tcBorders>
              <w:top w:val="single" w:color="000000" w:sz="6" w:space="0"/>
              <w:left w:val="single" w:color="000000" w:sz="6" w:space="0"/>
              <w:bottom w:val="single" w:color="000000" w:sz="6" w:space="0"/>
              <w:right w:val="single" w:color="000000" w:sz="6" w:space="0"/>
            </w:tcBorders>
            <w:vAlign w:val="center"/>
          </w:tcPr>
          <w:p>
            <w:pPr>
              <w:jc w:val="center"/>
              <w:rPr>
                <w:color w:val="000000"/>
                <w:sz w:val="28"/>
                <w:szCs w:val="28"/>
              </w:rPr>
            </w:pPr>
            <w:r>
              <w:rPr>
                <w:rFonts w:hint="eastAsia"/>
                <w:color w:val="000000"/>
                <w:sz w:val="28"/>
                <w:szCs w:val="28"/>
              </w:rPr>
              <w:t>3</w:t>
            </w:r>
          </w:p>
        </w:tc>
        <w:tc>
          <w:tcPr>
            <w:tcW w:w="1559" w:type="dxa"/>
            <w:tcBorders>
              <w:top w:val="single" w:color="000000" w:sz="6" w:space="0"/>
              <w:left w:val="single" w:color="000000" w:sz="6" w:space="0"/>
              <w:bottom w:val="single" w:color="000000" w:sz="6" w:space="0"/>
              <w:right w:val="single" w:color="000000" w:sz="6" w:space="0"/>
            </w:tcBorders>
            <w:vAlign w:val="center"/>
          </w:tcPr>
          <w:p>
            <w:pPr>
              <w:widowControl/>
              <w:spacing w:line="540" w:lineRule="exact"/>
              <w:jc w:val="center"/>
              <w:rPr>
                <w:rFonts w:eastAsia="仿宋"/>
                <w:kern w:val="0"/>
                <w:sz w:val="28"/>
                <w:szCs w:val="28"/>
              </w:rPr>
            </w:pPr>
            <w:r>
              <w:rPr>
                <w:rFonts w:hint="eastAsia" w:eastAsia="仿宋"/>
                <w:kern w:val="0"/>
                <w:sz w:val="28"/>
                <w:szCs w:val="28"/>
              </w:rPr>
              <w:t>1</w:t>
            </w:r>
          </w:p>
        </w:tc>
        <w:tc>
          <w:tcPr>
            <w:tcW w:w="1513" w:type="dxa"/>
            <w:tcBorders>
              <w:top w:val="single" w:color="000000" w:sz="6" w:space="0"/>
              <w:left w:val="single" w:color="000000" w:sz="6" w:space="0"/>
              <w:bottom w:val="single" w:color="000000" w:sz="6" w:space="0"/>
              <w:right w:val="single" w:color="000000" w:sz="8" w:space="0"/>
            </w:tcBorders>
            <w:vAlign w:val="center"/>
          </w:tcPr>
          <w:p>
            <w:pPr>
              <w:widowControl/>
              <w:spacing w:line="540" w:lineRule="exact"/>
              <w:jc w:val="center"/>
              <w:rPr>
                <w:rFonts w:eastAsia="仿宋"/>
                <w:kern w:val="0"/>
                <w:sz w:val="28"/>
                <w:szCs w:val="28"/>
              </w:rPr>
            </w:pPr>
            <w:r>
              <w:rPr>
                <w:rFonts w:hint="eastAsia" w:eastAsia="仿宋"/>
                <w:kern w:val="0"/>
                <w:sz w:val="28"/>
                <w:szCs w:val="28"/>
              </w:rPr>
              <w:t>18</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432" w:hRule="atLeast"/>
          <w:jc w:val="center"/>
        </w:trPr>
        <w:tc>
          <w:tcPr>
            <w:tcW w:w="1288" w:type="dxa"/>
            <w:tcBorders>
              <w:top w:val="single" w:color="000000" w:sz="6" w:space="0"/>
              <w:left w:val="single" w:color="000000" w:sz="8" w:space="0"/>
              <w:bottom w:val="single" w:color="000000" w:sz="6" w:space="0"/>
              <w:right w:val="single" w:color="000000" w:sz="6" w:space="0"/>
            </w:tcBorders>
            <w:vAlign w:val="center"/>
          </w:tcPr>
          <w:p>
            <w:pPr>
              <w:widowControl/>
              <w:spacing w:line="540" w:lineRule="exact"/>
              <w:jc w:val="center"/>
              <w:rPr>
                <w:rFonts w:eastAsia="仿宋"/>
                <w:kern w:val="0"/>
                <w:sz w:val="28"/>
                <w:szCs w:val="28"/>
              </w:rPr>
            </w:pPr>
            <w:r>
              <w:rPr>
                <w:rFonts w:hint="eastAsia" w:hAnsi="仿宋" w:eastAsia="仿宋"/>
                <w:kern w:val="0"/>
                <w:sz w:val="28"/>
                <w:szCs w:val="28"/>
              </w:rPr>
              <w:t>金寨县</w:t>
            </w:r>
          </w:p>
        </w:tc>
        <w:tc>
          <w:tcPr>
            <w:tcW w:w="1370" w:type="dxa"/>
            <w:tcBorders>
              <w:top w:val="single" w:color="000000" w:sz="6" w:space="0"/>
              <w:left w:val="single" w:color="000000" w:sz="6" w:space="0"/>
              <w:bottom w:val="single" w:color="000000" w:sz="6" w:space="0"/>
              <w:right w:val="single" w:color="000000" w:sz="6" w:space="0"/>
            </w:tcBorders>
            <w:vAlign w:val="center"/>
          </w:tcPr>
          <w:p>
            <w:pPr>
              <w:jc w:val="center"/>
              <w:rPr>
                <w:color w:val="000000"/>
                <w:sz w:val="28"/>
                <w:szCs w:val="28"/>
              </w:rPr>
            </w:pPr>
          </w:p>
        </w:tc>
        <w:tc>
          <w:tcPr>
            <w:tcW w:w="1370" w:type="dxa"/>
            <w:tcBorders>
              <w:top w:val="single" w:color="000000" w:sz="6" w:space="0"/>
              <w:left w:val="single" w:color="000000" w:sz="6" w:space="0"/>
              <w:bottom w:val="single" w:color="000000" w:sz="6" w:space="0"/>
              <w:right w:val="single" w:color="000000" w:sz="6" w:space="0"/>
            </w:tcBorders>
            <w:vAlign w:val="center"/>
          </w:tcPr>
          <w:p>
            <w:pPr>
              <w:jc w:val="center"/>
              <w:rPr>
                <w:color w:val="000000"/>
                <w:sz w:val="28"/>
                <w:szCs w:val="28"/>
              </w:rPr>
            </w:pPr>
            <w:r>
              <w:rPr>
                <w:rFonts w:hint="eastAsia"/>
                <w:color w:val="000000"/>
                <w:sz w:val="28"/>
                <w:szCs w:val="28"/>
              </w:rPr>
              <w:t>2</w:t>
            </w:r>
          </w:p>
        </w:tc>
        <w:tc>
          <w:tcPr>
            <w:tcW w:w="1371" w:type="dxa"/>
            <w:tcBorders>
              <w:top w:val="single" w:color="000000" w:sz="6" w:space="0"/>
              <w:left w:val="single" w:color="000000" w:sz="6" w:space="0"/>
              <w:bottom w:val="single" w:color="000000" w:sz="6" w:space="0"/>
              <w:right w:val="single" w:color="000000" w:sz="6" w:space="0"/>
            </w:tcBorders>
            <w:vAlign w:val="center"/>
          </w:tcPr>
          <w:p>
            <w:pPr>
              <w:jc w:val="center"/>
              <w:rPr>
                <w:color w:val="000000"/>
                <w:sz w:val="28"/>
                <w:szCs w:val="28"/>
              </w:rPr>
            </w:pPr>
            <w:r>
              <w:rPr>
                <w:rFonts w:hint="eastAsia"/>
                <w:color w:val="000000"/>
                <w:sz w:val="28"/>
                <w:szCs w:val="28"/>
              </w:rPr>
              <w:t>8</w:t>
            </w:r>
          </w:p>
        </w:tc>
        <w:tc>
          <w:tcPr>
            <w:tcW w:w="1559" w:type="dxa"/>
            <w:tcBorders>
              <w:top w:val="single" w:color="000000" w:sz="6" w:space="0"/>
              <w:left w:val="single" w:color="000000" w:sz="6" w:space="0"/>
              <w:bottom w:val="single" w:color="000000" w:sz="6" w:space="0"/>
              <w:right w:val="single" w:color="000000" w:sz="6" w:space="0"/>
            </w:tcBorders>
            <w:vAlign w:val="center"/>
          </w:tcPr>
          <w:p>
            <w:pPr>
              <w:widowControl/>
              <w:spacing w:line="540" w:lineRule="exact"/>
              <w:jc w:val="center"/>
              <w:rPr>
                <w:rFonts w:eastAsia="仿宋"/>
                <w:kern w:val="0"/>
                <w:sz w:val="28"/>
                <w:szCs w:val="28"/>
              </w:rPr>
            </w:pPr>
          </w:p>
        </w:tc>
        <w:tc>
          <w:tcPr>
            <w:tcW w:w="1513" w:type="dxa"/>
            <w:tcBorders>
              <w:top w:val="single" w:color="000000" w:sz="6" w:space="0"/>
              <w:left w:val="single" w:color="000000" w:sz="6" w:space="0"/>
              <w:bottom w:val="single" w:color="000000" w:sz="6" w:space="0"/>
              <w:right w:val="single" w:color="000000" w:sz="8" w:space="0"/>
            </w:tcBorders>
            <w:vAlign w:val="center"/>
          </w:tcPr>
          <w:p>
            <w:pPr>
              <w:widowControl/>
              <w:spacing w:line="540" w:lineRule="exact"/>
              <w:jc w:val="center"/>
              <w:rPr>
                <w:rFonts w:eastAsia="仿宋"/>
                <w:kern w:val="0"/>
                <w:sz w:val="28"/>
                <w:szCs w:val="28"/>
              </w:rPr>
            </w:pPr>
            <w:r>
              <w:rPr>
                <w:rFonts w:hint="eastAsia" w:eastAsia="仿宋"/>
                <w:kern w:val="0"/>
                <w:sz w:val="28"/>
                <w:szCs w:val="28"/>
              </w:rPr>
              <w:t>10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432" w:hRule="atLeast"/>
          <w:jc w:val="center"/>
        </w:trPr>
        <w:tc>
          <w:tcPr>
            <w:tcW w:w="1288" w:type="dxa"/>
            <w:tcBorders>
              <w:top w:val="single" w:color="000000" w:sz="6" w:space="0"/>
              <w:left w:val="single" w:color="000000" w:sz="8" w:space="0"/>
              <w:bottom w:val="single" w:color="000000" w:sz="6" w:space="0"/>
              <w:right w:val="single" w:color="000000" w:sz="6" w:space="0"/>
            </w:tcBorders>
            <w:vAlign w:val="center"/>
          </w:tcPr>
          <w:p>
            <w:pPr>
              <w:widowControl/>
              <w:spacing w:line="540" w:lineRule="exact"/>
              <w:jc w:val="center"/>
              <w:rPr>
                <w:rFonts w:eastAsia="仿宋"/>
                <w:kern w:val="0"/>
                <w:sz w:val="28"/>
                <w:szCs w:val="28"/>
              </w:rPr>
            </w:pPr>
            <w:r>
              <w:rPr>
                <w:rFonts w:hint="eastAsia" w:hAnsi="仿宋" w:eastAsia="仿宋"/>
                <w:kern w:val="0"/>
                <w:sz w:val="28"/>
                <w:szCs w:val="28"/>
              </w:rPr>
              <w:t>霍山县</w:t>
            </w:r>
          </w:p>
        </w:tc>
        <w:tc>
          <w:tcPr>
            <w:tcW w:w="1370" w:type="dxa"/>
            <w:tcBorders>
              <w:top w:val="single" w:color="000000" w:sz="6" w:space="0"/>
              <w:left w:val="single" w:color="000000" w:sz="6" w:space="0"/>
              <w:bottom w:val="single" w:color="000000" w:sz="6" w:space="0"/>
              <w:right w:val="single" w:color="000000" w:sz="6" w:space="0"/>
            </w:tcBorders>
            <w:vAlign w:val="center"/>
          </w:tcPr>
          <w:p>
            <w:pPr>
              <w:jc w:val="center"/>
              <w:rPr>
                <w:color w:val="000000"/>
                <w:sz w:val="28"/>
                <w:szCs w:val="28"/>
              </w:rPr>
            </w:pPr>
            <w:r>
              <w:rPr>
                <w:rFonts w:hint="eastAsia"/>
                <w:color w:val="000000"/>
                <w:sz w:val="28"/>
                <w:szCs w:val="28"/>
              </w:rPr>
              <w:t>11</w:t>
            </w:r>
          </w:p>
        </w:tc>
        <w:tc>
          <w:tcPr>
            <w:tcW w:w="1370" w:type="dxa"/>
            <w:tcBorders>
              <w:top w:val="single" w:color="000000" w:sz="6" w:space="0"/>
              <w:left w:val="single" w:color="000000" w:sz="6" w:space="0"/>
              <w:bottom w:val="single" w:color="000000" w:sz="6" w:space="0"/>
              <w:right w:val="single" w:color="000000" w:sz="6" w:space="0"/>
            </w:tcBorders>
            <w:vAlign w:val="center"/>
          </w:tcPr>
          <w:p>
            <w:pPr>
              <w:jc w:val="center"/>
              <w:rPr>
                <w:color w:val="000000"/>
                <w:sz w:val="28"/>
                <w:szCs w:val="28"/>
              </w:rPr>
            </w:pPr>
            <w:r>
              <w:rPr>
                <w:rFonts w:hint="eastAsia"/>
                <w:color w:val="000000"/>
                <w:sz w:val="28"/>
                <w:szCs w:val="28"/>
              </w:rPr>
              <w:t>13</w:t>
            </w:r>
          </w:p>
        </w:tc>
        <w:tc>
          <w:tcPr>
            <w:tcW w:w="1371" w:type="dxa"/>
            <w:tcBorders>
              <w:top w:val="single" w:color="000000" w:sz="6" w:space="0"/>
              <w:left w:val="single" w:color="000000" w:sz="6" w:space="0"/>
              <w:bottom w:val="single" w:color="000000" w:sz="6" w:space="0"/>
              <w:right w:val="single" w:color="000000" w:sz="6" w:space="0"/>
            </w:tcBorders>
            <w:vAlign w:val="center"/>
          </w:tcPr>
          <w:p>
            <w:pPr>
              <w:jc w:val="center"/>
              <w:rPr>
                <w:color w:val="000000"/>
                <w:sz w:val="28"/>
                <w:szCs w:val="28"/>
              </w:rPr>
            </w:pPr>
            <w:r>
              <w:rPr>
                <w:rFonts w:hint="eastAsia"/>
                <w:color w:val="000000"/>
                <w:sz w:val="28"/>
                <w:szCs w:val="28"/>
              </w:rPr>
              <w:t>12</w:t>
            </w:r>
          </w:p>
        </w:tc>
        <w:tc>
          <w:tcPr>
            <w:tcW w:w="1559" w:type="dxa"/>
            <w:tcBorders>
              <w:top w:val="single" w:color="000000" w:sz="6" w:space="0"/>
              <w:left w:val="single" w:color="000000" w:sz="6" w:space="0"/>
              <w:bottom w:val="single" w:color="000000" w:sz="6" w:space="0"/>
              <w:right w:val="single" w:color="000000" w:sz="6" w:space="0"/>
            </w:tcBorders>
            <w:vAlign w:val="center"/>
          </w:tcPr>
          <w:p>
            <w:pPr>
              <w:widowControl/>
              <w:spacing w:line="540" w:lineRule="exact"/>
              <w:jc w:val="center"/>
              <w:rPr>
                <w:rFonts w:eastAsia="仿宋"/>
                <w:kern w:val="0"/>
                <w:sz w:val="28"/>
                <w:szCs w:val="28"/>
              </w:rPr>
            </w:pPr>
            <w:r>
              <w:rPr>
                <w:rFonts w:hint="eastAsia" w:eastAsia="仿宋"/>
                <w:kern w:val="0"/>
                <w:sz w:val="28"/>
                <w:szCs w:val="28"/>
              </w:rPr>
              <w:t>1</w:t>
            </w:r>
          </w:p>
        </w:tc>
        <w:tc>
          <w:tcPr>
            <w:tcW w:w="1513" w:type="dxa"/>
            <w:tcBorders>
              <w:top w:val="single" w:color="000000" w:sz="6" w:space="0"/>
              <w:left w:val="single" w:color="000000" w:sz="6" w:space="0"/>
              <w:bottom w:val="single" w:color="000000" w:sz="6" w:space="0"/>
              <w:right w:val="single" w:color="000000" w:sz="8" w:space="0"/>
            </w:tcBorders>
            <w:vAlign w:val="center"/>
          </w:tcPr>
          <w:p>
            <w:pPr>
              <w:widowControl/>
              <w:spacing w:line="540" w:lineRule="exact"/>
              <w:jc w:val="center"/>
              <w:rPr>
                <w:rFonts w:eastAsia="仿宋"/>
                <w:kern w:val="0"/>
                <w:sz w:val="28"/>
                <w:szCs w:val="28"/>
              </w:rPr>
            </w:pPr>
            <w:r>
              <w:rPr>
                <w:rFonts w:hint="eastAsia" w:eastAsia="仿宋"/>
                <w:kern w:val="0"/>
                <w:sz w:val="28"/>
                <w:szCs w:val="28"/>
              </w:rPr>
              <w:t>37</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432" w:hRule="atLeast"/>
          <w:jc w:val="center"/>
        </w:trPr>
        <w:tc>
          <w:tcPr>
            <w:tcW w:w="1288" w:type="dxa"/>
            <w:tcBorders>
              <w:top w:val="single" w:color="000000" w:sz="6" w:space="0"/>
              <w:left w:val="single" w:color="000000" w:sz="8" w:space="0"/>
              <w:bottom w:val="single" w:color="000000" w:sz="8" w:space="0"/>
              <w:right w:val="single" w:color="000000" w:sz="6" w:space="0"/>
            </w:tcBorders>
            <w:vAlign w:val="center"/>
          </w:tcPr>
          <w:p>
            <w:pPr>
              <w:widowControl/>
              <w:spacing w:line="540" w:lineRule="exact"/>
              <w:jc w:val="center"/>
              <w:rPr>
                <w:rFonts w:eastAsia="仿宋"/>
                <w:b/>
                <w:bCs/>
                <w:kern w:val="0"/>
                <w:sz w:val="28"/>
                <w:szCs w:val="28"/>
              </w:rPr>
            </w:pPr>
            <w:r>
              <w:rPr>
                <w:rFonts w:hint="eastAsia" w:hAnsi="仿宋" w:eastAsia="仿宋"/>
                <w:b/>
                <w:bCs/>
                <w:kern w:val="0"/>
                <w:sz w:val="28"/>
                <w:szCs w:val="28"/>
              </w:rPr>
              <w:t>合</w:t>
            </w:r>
            <w:r>
              <w:rPr>
                <w:rFonts w:eastAsia="仿宋"/>
                <w:b/>
                <w:bCs/>
                <w:kern w:val="0"/>
                <w:sz w:val="28"/>
                <w:szCs w:val="28"/>
              </w:rPr>
              <w:t xml:space="preserve">  </w:t>
            </w:r>
            <w:r>
              <w:rPr>
                <w:rFonts w:hint="eastAsia" w:hAnsi="仿宋" w:eastAsia="仿宋"/>
                <w:b/>
                <w:bCs/>
                <w:kern w:val="0"/>
                <w:sz w:val="28"/>
                <w:szCs w:val="28"/>
              </w:rPr>
              <w:t>计</w:t>
            </w:r>
          </w:p>
        </w:tc>
        <w:tc>
          <w:tcPr>
            <w:tcW w:w="1370" w:type="dxa"/>
            <w:tcBorders>
              <w:top w:val="single" w:color="000000" w:sz="6" w:space="0"/>
              <w:left w:val="single" w:color="000000" w:sz="6" w:space="0"/>
              <w:bottom w:val="single" w:color="000000" w:sz="8" w:space="0"/>
              <w:right w:val="single" w:color="000000" w:sz="6" w:space="0"/>
            </w:tcBorders>
            <w:vAlign w:val="center"/>
          </w:tcPr>
          <w:p>
            <w:pPr>
              <w:widowControl/>
              <w:spacing w:line="540" w:lineRule="exact"/>
              <w:jc w:val="center"/>
              <w:rPr>
                <w:rFonts w:eastAsia="仿宋"/>
                <w:b/>
                <w:bCs/>
                <w:kern w:val="0"/>
                <w:sz w:val="28"/>
                <w:szCs w:val="28"/>
              </w:rPr>
            </w:pPr>
            <w:r>
              <w:rPr>
                <w:rFonts w:hint="eastAsia" w:eastAsia="仿宋"/>
                <w:b/>
                <w:bCs/>
                <w:kern w:val="0"/>
                <w:sz w:val="28"/>
                <w:szCs w:val="28"/>
              </w:rPr>
              <w:t>32</w:t>
            </w:r>
          </w:p>
        </w:tc>
        <w:tc>
          <w:tcPr>
            <w:tcW w:w="1370" w:type="dxa"/>
            <w:tcBorders>
              <w:top w:val="single" w:color="000000" w:sz="6" w:space="0"/>
              <w:left w:val="single" w:color="000000" w:sz="6" w:space="0"/>
              <w:bottom w:val="single" w:color="000000" w:sz="8" w:space="0"/>
              <w:right w:val="single" w:color="000000" w:sz="6" w:space="0"/>
            </w:tcBorders>
            <w:vAlign w:val="center"/>
          </w:tcPr>
          <w:p>
            <w:pPr>
              <w:widowControl/>
              <w:spacing w:line="540" w:lineRule="exact"/>
              <w:jc w:val="center"/>
              <w:rPr>
                <w:rFonts w:eastAsia="仿宋"/>
                <w:b/>
                <w:bCs/>
                <w:kern w:val="0"/>
                <w:sz w:val="28"/>
                <w:szCs w:val="28"/>
              </w:rPr>
            </w:pPr>
            <w:r>
              <w:rPr>
                <w:rFonts w:hint="eastAsia" w:eastAsia="仿宋"/>
                <w:b/>
                <w:bCs/>
                <w:kern w:val="0"/>
                <w:sz w:val="28"/>
                <w:szCs w:val="28"/>
              </w:rPr>
              <w:t>69</w:t>
            </w:r>
          </w:p>
        </w:tc>
        <w:tc>
          <w:tcPr>
            <w:tcW w:w="1371" w:type="dxa"/>
            <w:tcBorders>
              <w:top w:val="single" w:color="000000" w:sz="6" w:space="0"/>
              <w:left w:val="single" w:color="000000" w:sz="6" w:space="0"/>
              <w:bottom w:val="single" w:color="000000" w:sz="8" w:space="0"/>
              <w:right w:val="single" w:color="000000" w:sz="6" w:space="0"/>
            </w:tcBorders>
            <w:vAlign w:val="center"/>
          </w:tcPr>
          <w:p>
            <w:pPr>
              <w:widowControl/>
              <w:spacing w:line="540" w:lineRule="exact"/>
              <w:jc w:val="center"/>
              <w:rPr>
                <w:rFonts w:eastAsia="仿宋"/>
                <w:b/>
                <w:bCs/>
                <w:kern w:val="0"/>
                <w:sz w:val="28"/>
                <w:szCs w:val="28"/>
              </w:rPr>
            </w:pPr>
            <w:r>
              <w:rPr>
                <w:rFonts w:hint="eastAsia" w:eastAsia="仿宋"/>
                <w:b/>
                <w:bCs/>
                <w:kern w:val="0"/>
                <w:sz w:val="28"/>
                <w:szCs w:val="28"/>
              </w:rPr>
              <w:t>29</w:t>
            </w:r>
          </w:p>
        </w:tc>
        <w:tc>
          <w:tcPr>
            <w:tcW w:w="1559" w:type="dxa"/>
            <w:tcBorders>
              <w:top w:val="single" w:color="000000" w:sz="6" w:space="0"/>
              <w:left w:val="single" w:color="000000" w:sz="6" w:space="0"/>
              <w:bottom w:val="single" w:color="000000" w:sz="8" w:space="0"/>
              <w:right w:val="single" w:color="000000" w:sz="6" w:space="0"/>
            </w:tcBorders>
            <w:vAlign w:val="center"/>
          </w:tcPr>
          <w:p>
            <w:pPr>
              <w:widowControl/>
              <w:spacing w:line="540" w:lineRule="exact"/>
              <w:jc w:val="center"/>
              <w:rPr>
                <w:rFonts w:eastAsia="仿宋"/>
                <w:b/>
                <w:bCs/>
                <w:kern w:val="0"/>
                <w:sz w:val="28"/>
                <w:szCs w:val="28"/>
              </w:rPr>
            </w:pPr>
            <w:r>
              <w:rPr>
                <w:rFonts w:hint="eastAsia" w:eastAsia="仿宋"/>
                <w:b/>
                <w:bCs/>
                <w:kern w:val="0"/>
                <w:sz w:val="28"/>
                <w:szCs w:val="28"/>
              </w:rPr>
              <w:t>2</w:t>
            </w:r>
          </w:p>
        </w:tc>
        <w:tc>
          <w:tcPr>
            <w:tcW w:w="1513" w:type="dxa"/>
            <w:tcBorders>
              <w:top w:val="single" w:color="000000" w:sz="6" w:space="0"/>
              <w:left w:val="single" w:color="000000" w:sz="6" w:space="0"/>
              <w:bottom w:val="single" w:color="000000" w:sz="8" w:space="0"/>
              <w:right w:val="single" w:color="000000" w:sz="8" w:space="0"/>
            </w:tcBorders>
            <w:vAlign w:val="center"/>
          </w:tcPr>
          <w:p>
            <w:pPr>
              <w:widowControl/>
              <w:spacing w:line="540" w:lineRule="exact"/>
              <w:jc w:val="center"/>
              <w:rPr>
                <w:rFonts w:eastAsia="仿宋"/>
                <w:b/>
                <w:bCs/>
                <w:kern w:val="0"/>
                <w:sz w:val="28"/>
                <w:szCs w:val="28"/>
              </w:rPr>
            </w:pPr>
            <w:r>
              <w:rPr>
                <w:rFonts w:hint="eastAsia" w:eastAsia="仿宋"/>
                <w:b/>
                <w:bCs/>
                <w:kern w:val="0"/>
                <w:sz w:val="28"/>
                <w:szCs w:val="28"/>
              </w:rPr>
              <w:t>132</w:t>
            </w:r>
          </w:p>
        </w:tc>
      </w:tr>
    </w:tbl>
    <w:p>
      <w:pPr>
        <w:rPr>
          <w:rFonts w:hint="eastAsia"/>
        </w:rPr>
      </w:pPr>
      <w:r>
        <w:rPr>
          <w:rFonts w:hint="eastAsia"/>
        </w:rPr>
        <w:t>备注：包括2017年之前未奖补、续展和2018年新认证数。</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bookmarkStart w:id="0" w:name="_GoBack"/>
      <w:bookmarkEnd w:id="0"/>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rPr>
      </w:pPr>
      <w:r>
        <w:rPr>
          <w:rFonts w:hint="eastAsia"/>
          <w:szCs w:val="32"/>
        </w:rPr>
        <w:t>抄送：省农委、市民生办</w:t>
      </w:r>
    </w:p>
    <w:sectPr>
      <w:footerReference r:id="rId3" w:type="default"/>
      <w:footerReference r:id="rId4" w:type="even"/>
      <w:pgSz w:w="11906" w:h="16838"/>
      <w:pgMar w:top="1701" w:right="1474" w:bottom="1474" w:left="1701" w:header="851" w:footer="992" w:gutter="0"/>
      <w:cols w:space="425" w:num="1"/>
      <w:titlePg/>
      <w:docGrid w:type="linesAndChars" w:linePitch="621"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NotTrackMoves/>
  <w:documentProtection w:enforcement="0"/>
  <w:defaultTabStop w:val="420"/>
  <w:drawingGridHorizontalSpacing w:val="156"/>
  <w:drawingGridVerticalSpacing w:val="621"/>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1DE"/>
    <w:rsid w:val="00011154"/>
    <w:rsid w:val="00012C56"/>
    <w:rsid w:val="0006260A"/>
    <w:rsid w:val="0008258E"/>
    <w:rsid w:val="000A075C"/>
    <w:rsid w:val="000A5BA5"/>
    <w:rsid w:val="000B191F"/>
    <w:rsid w:val="000D07B2"/>
    <w:rsid w:val="000F0BBF"/>
    <w:rsid w:val="000F5480"/>
    <w:rsid w:val="00104620"/>
    <w:rsid w:val="00117D53"/>
    <w:rsid w:val="00117E02"/>
    <w:rsid w:val="00136D79"/>
    <w:rsid w:val="0014454D"/>
    <w:rsid w:val="00164C85"/>
    <w:rsid w:val="00175001"/>
    <w:rsid w:val="001874F9"/>
    <w:rsid w:val="0018785E"/>
    <w:rsid w:val="001C48C3"/>
    <w:rsid w:val="001C653D"/>
    <w:rsid w:val="001D1193"/>
    <w:rsid w:val="001D3FDF"/>
    <w:rsid w:val="001D62A6"/>
    <w:rsid w:val="001E3416"/>
    <w:rsid w:val="001E3E05"/>
    <w:rsid w:val="001E7560"/>
    <w:rsid w:val="001F378A"/>
    <w:rsid w:val="001F5CD7"/>
    <w:rsid w:val="00210BC6"/>
    <w:rsid w:val="00214A29"/>
    <w:rsid w:val="002375AA"/>
    <w:rsid w:val="0024539F"/>
    <w:rsid w:val="00293723"/>
    <w:rsid w:val="00296C15"/>
    <w:rsid w:val="00297A8B"/>
    <w:rsid w:val="002B003B"/>
    <w:rsid w:val="002B52E7"/>
    <w:rsid w:val="002B7E50"/>
    <w:rsid w:val="002E5C52"/>
    <w:rsid w:val="00312F86"/>
    <w:rsid w:val="0031700B"/>
    <w:rsid w:val="00325172"/>
    <w:rsid w:val="00334D59"/>
    <w:rsid w:val="00343F4C"/>
    <w:rsid w:val="00347A14"/>
    <w:rsid w:val="0035780A"/>
    <w:rsid w:val="00374A6A"/>
    <w:rsid w:val="003751E7"/>
    <w:rsid w:val="00391693"/>
    <w:rsid w:val="003A029D"/>
    <w:rsid w:val="003B7953"/>
    <w:rsid w:val="003C7BB9"/>
    <w:rsid w:val="003E2ED8"/>
    <w:rsid w:val="003E3449"/>
    <w:rsid w:val="003E525A"/>
    <w:rsid w:val="00405B13"/>
    <w:rsid w:val="004160B2"/>
    <w:rsid w:val="00423410"/>
    <w:rsid w:val="00437A14"/>
    <w:rsid w:val="00453F0E"/>
    <w:rsid w:val="00455A15"/>
    <w:rsid w:val="00457F02"/>
    <w:rsid w:val="0046181B"/>
    <w:rsid w:val="0046403C"/>
    <w:rsid w:val="00477352"/>
    <w:rsid w:val="004B54AB"/>
    <w:rsid w:val="004B5901"/>
    <w:rsid w:val="004B6BE6"/>
    <w:rsid w:val="004C5876"/>
    <w:rsid w:val="004C5FFD"/>
    <w:rsid w:val="004C6327"/>
    <w:rsid w:val="004C7674"/>
    <w:rsid w:val="004E5290"/>
    <w:rsid w:val="004E6779"/>
    <w:rsid w:val="004F4771"/>
    <w:rsid w:val="00506E99"/>
    <w:rsid w:val="00522639"/>
    <w:rsid w:val="00553A4B"/>
    <w:rsid w:val="00564662"/>
    <w:rsid w:val="0058148B"/>
    <w:rsid w:val="00587D57"/>
    <w:rsid w:val="005A2ED9"/>
    <w:rsid w:val="005A7E64"/>
    <w:rsid w:val="00617BA6"/>
    <w:rsid w:val="00620040"/>
    <w:rsid w:val="0063404A"/>
    <w:rsid w:val="006461D6"/>
    <w:rsid w:val="00655EE8"/>
    <w:rsid w:val="00680A68"/>
    <w:rsid w:val="006915DA"/>
    <w:rsid w:val="00692145"/>
    <w:rsid w:val="006B4C0A"/>
    <w:rsid w:val="006C0792"/>
    <w:rsid w:val="006D3C17"/>
    <w:rsid w:val="006E07F8"/>
    <w:rsid w:val="006E1164"/>
    <w:rsid w:val="006F7D7F"/>
    <w:rsid w:val="007451C4"/>
    <w:rsid w:val="007452D6"/>
    <w:rsid w:val="007635E2"/>
    <w:rsid w:val="007718FA"/>
    <w:rsid w:val="008004BF"/>
    <w:rsid w:val="00803FAB"/>
    <w:rsid w:val="0082031C"/>
    <w:rsid w:val="00850AFF"/>
    <w:rsid w:val="00853A43"/>
    <w:rsid w:val="00854A20"/>
    <w:rsid w:val="008713E4"/>
    <w:rsid w:val="00881D44"/>
    <w:rsid w:val="008A6E5C"/>
    <w:rsid w:val="008A7FDC"/>
    <w:rsid w:val="008B0328"/>
    <w:rsid w:val="008C6754"/>
    <w:rsid w:val="008D4335"/>
    <w:rsid w:val="008D5827"/>
    <w:rsid w:val="008F08E9"/>
    <w:rsid w:val="009077B4"/>
    <w:rsid w:val="009213AC"/>
    <w:rsid w:val="00935071"/>
    <w:rsid w:val="0096693F"/>
    <w:rsid w:val="00966DD7"/>
    <w:rsid w:val="009703B5"/>
    <w:rsid w:val="00980E9F"/>
    <w:rsid w:val="009905D2"/>
    <w:rsid w:val="009927EE"/>
    <w:rsid w:val="00997833"/>
    <w:rsid w:val="009A785C"/>
    <w:rsid w:val="009D17C1"/>
    <w:rsid w:val="009D2350"/>
    <w:rsid w:val="009D3C58"/>
    <w:rsid w:val="009D5142"/>
    <w:rsid w:val="009E20DB"/>
    <w:rsid w:val="009E6B45"/>
    <w:rsid w:val="009F6B79"/>
    <w:rsid w:val="00A04C3C"/>
    <w:rsid w:val="00A27A9F"/>
    <w:rsid w:val="00A457F3"/>
    <w:rsid w:val="00A51B46"/>
    <w:rsid w:val="00A82A1F"/>
    <w:rsid w:val="00A94548"/>
    <w:rsid w:val="00AA3652"/>
    <w:rsid w:val="00AB421A"/>
    <w:rsid w:val="00AB7D63"/>
    <w:rsid w:val="00AC30AF"/>
    <w:rsid w:val="00AC571E"/>
    <w:rsid w:val="00AD4D44"/>
    <w:rsid w:val="00AE765E"/>
    <w:rsid w:val="00AF091C"/>
    <w:rsid w:val="00B13147"/>
    <w:rsid w:val="00B135CE"/>
    <w:rsid w:val="00B34618"/>
    <w:rsid w:val="00B34F60"/>
    <w:rsid w:val="00B50C7C"/>
    <w:rsid w:val="00B635AD"/>
    <w:rsid w:val="00B70D05"/>
    <w:rsid w:val="00B8244B"/>
    <w:rsid w:val="00B9362F"/>
    <w:rsid w:val="00BB71DA"/>
    <w:rsid w:val="00BB7CA8"/>
    <w:rsid w:val="00BC0621"/>
    <w:rsid w:val="00BC253A"/>
    <w:rsid w:val="00BC26A3"/>
    <w:rsid w:val="00BD71DE"/>
    <w:rsid w:val="00BE1F5A"/>
    <w:rsid w:val="00C10B2F"/>
    <w:rsid w:val="00C1759D"/>
    <w:rsid w:val="00C401B7"/>
    <w:rsid w:val="00C71511"/>
    <w:rsid w:val="00C7703B"/>
    <w:rsid w:val="00C8776E"/>
    <w:rsid w:val="00C94960"/>
    <w:rsid w:val="00CA5BD6"/>
    <w:rsid w:val="00CB7021"/>
    <w:rsid w:val="00CC26D2"/>
    <w:rsid w:val="00CE4906"/>
    <w:rsid w:val="00CE51E4"/>
    <w:rsid w:val="00CE7AAD"/>
    <w:rsid w:val="00CF2624"/>
    <w:rsid w:val="00CF723C"/>
    <w:rsid w:val="00D03CED"/>
    <w:rsid w:val="00D04F95"/>
    <w:rsid w:val="00D30593"/>
    <w:rsid w:val="00D30C60"/>
    <w:rsid w:val="00D45693"/>
    <w:rsid w:val="00D55EBE"/>
    <w:rsid w:val="00D7597E"/>
    <w:rsid w:val="00D76ED9"/>
    <w:rsid w:val="00DE019C"/>
    <w:rsid w:val="00E14983"/>
    <w:rsid w:val="00E16E76"/>
    <w:rsid w:val="00E24914"/>
    <w:rsid w:val="00E35413"/>
    <w:rsid w:val="00E52128"/>
    <w:rsid w:val="00E579FF"/>
    <w:rsid w:val="00E64E0F"/>
    <w:rsid w:val="00E948BF"/>
    <w:rsid w:val="00E97B28"/>
    <w:rsid w:val="00EA3562"/>
    <w:rsid w:val="00EA3798"/>
    <w:rsid w:val="00EB2549"/>
    <w:rsid w:val="00ED3F67"/>
    <w:rsid w:val="00ED449D"/>
    <w:rsid w:val="00EE0D15"/>
    <w:rsid w:val="00EE699D"/>
    <w:rsid w:val="00EF59EB"/>
    <w:rsid w:val="00F0710C"/>
    <w:rsid w:val="00F226C1"/>
    <w:rsid w:val="00F27F28"/>
    <w:rsid w:val="00F3295A"/>
    <w:rsid w:val="00F34D3A"/>
    <w:rsid w:val="00F41BB0"/>
    <w:rsid w:val="00F5404B"/>
    <w:rsid w:val="00F70C5B"/>
    <w:rsid w:val="00F721DC"/>
    <w:rsid w:val="00F756F4"/>
    <w:rsid w:val="00F801E4"/>
    <w:rsid w:val="00FA384B"/>
    <w:rsid w:val="00FA5492"/>
    <w:rsid w:val="00FB08C1"/>
    <w:rsid w:val="00FE07E1"/>
    <w:rsid w:val="00FE3C59"/>
    <w:rsid w:val="74B7392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semiHidden/>
    <w:qFormat/>
    <w:uiPriority w:val="99"/>
    <w:pPr>
      <w:ind w:left="100" w:leftChars="2500"/>
    </w:pPr>
  </w:style>
  <w:style w:type="paragraph" w:styleId="3">
    <w:name w:val="Balloon Text"/>
    <w:basedOn w:val="1"/>
    <w:link w:val="15"/>
    <w:semiHidden/>
    <w:qFormat/>
    <w:uiPriority w:val="99"/>
    <w:rPr>
      <w:sz w:val="18"/>
      <w:szCs w:val="18"/>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locked/>
    <w:uiPriority w:val="22"/>
    <w:rPr>
      <w:b/>
      <w:bCs/>
    </w:rPr>
  </w:style>
  <w:style w:type="character" w:styleId="8">
    <w:name w:val="page number"/>
    <w:basedOn w:val="6"/>
    <w:uiPriority w:val="99"/>
    <w:rPr>
      <w:rFonts w:cs="Times New Roman"/>
    </w:rPr>
  </w:style>
  <w:style w:type="character" w:styleId="9">
    <w:name w:val="Emphasis"/>
    <w:basedOn w:val="6"/>
    <w:qFormat/>
    <w:uiPriority w:val="99"/>
    <w:rPr>
      <w:rFonts w:cs="Times New Roman"/>
    </w:rPr>
  </w:style>
  <w:style w:type="paragraph" w:customStyle="1" w:styleId="11">
    <w:name w:val="List Paragraph"/>
    <w:basedOn w:val="1"/>
    <w:qFormat/>
    <w:uiPriority w:val="99"/>
    <w:pPr>
      <w:ind w:firstLine="420" w:firstLineChars="200"/>
    </w:pPr>
  </w:style>
  <w:style w:type="character" w:customStyle="1" w:styleId="12">
    <w:name w:val="页脚 Char"/>
    <w:basedOn w:val="6"/>
    <w:link w:val="4"/>
    <w:semiHidden/>
    <w:locked/>
    <w:uiPriority w:val="99"/>
    <w:rPr>
      <w:rFonts w:eastAsia="仿宋_GB2312" w:cs="Times New Roman"/>
      <w:sz w:val="18"/>
      <w:szCs w:val="18"/>
    </w:rPr>
  </w:style>
  <w:style w:type="character" w:customStyle="1" w:styleId="13">
    <w:name w:val="日期 Char"/>
    <w:basedOn w:val="6"/>
    <w:link w:val="2"/>
    <w:semiHidden/>
    <w:qFormat/>
    <w:locked/>
    <w:uiPriority w:val="99"/>
    <w:rPr>
      <w:rFonts w:eastAsia="仿宋_GB2312" w:cs="Times New Roman"/>
      <w:sz w:val="24"/>
      <w:szCs w:val="24"/>
    </w:rPr>
  </w:style>
  <w:style w:type="character" w:customStyle="1" w:styleId="14">
    <w:name w:val="页眉 Char"/>
    <w:basedOn w:val="6"/>
    <w:link w:val="5"/>
    <w:semiHidden/>
    <w:qFormat/>
    <w:locked/>
    <w:uiPriority w:val="99"/>
    <w:rPr>
      <w:rFonts w:eastAsia="仿宋_GB2312" w:cs="Times New Roman"/>
      <w:sz w:val="18"/>
      <w:szCs w:val="18"/>
    </w:rPr>
  </w:style>
  <w:style w:type="character" w:customStyle="1" w:styleId="15">
    <w:name w:val="批注框文本 Char"/>
    <w:basedOn w:val="6"/>
    <w:link w:val="3"/>
    <w:semiHidden/>
    <w:qFormat/>
    <w:uiPriority w:val="99"/>
    <w:rPr>
      <w:rFonts w:eastAsia="仿宋_GB2312"/>
      <w:sz w:val="0"/>
      <w:szCs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523</Words>
  <Characters>2986</Characters>
  <Lines>24</Lines>
  <Paragraphs>7</Paragraphs>
  <TotalTime>0</TotalTime>
  <ScaleCrop>false</ScaleCrop>
  <LinksUpToDate>false</LinksUpToDate>
  <CharactersWithSpaces>3502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2018-03-30T02:10:00Z</dcterms:created>
  <dc:creator>Administrator</dc:creator>
  <cp:lastModifiedBy>gyb1</cp:lastModifiedBy>
  <cp:lastPrinted>2018-05-10T01:27:00Z</cp:lastPrinted>
  <dcterms:modified xsi:type="dcterms:W3CDTF">2018-05-11T00:46:24Z</dcterms:modified>
  <dc:title>六农〔2018〕60号</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