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color w:val="auto"/>
          <w:kern w:val="0"/>
          <w:sz w:val="44"/>
          <w:szCs w:val="44"/>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_GBK" w:cs="Times New Roman"/>
          <w:color w:val="auto"/>
          <w:kern w:val="0"/>
          <w:sz w:val="44"/>
          <w:szCs w:val="44"/>
          <w:lang w:eastAsia="zh-CN"/>
        </w:rPr>
      </w:pPr>
      <w:r>
        <w:rPr>
          <w:rFonts w:hint="default" w:ascii="Times New Roman" w:hAnsi="Times New Roman" w:eastAsia="方正小标宋_GBK" w:cs="Times New Roman"/>
          <w:color w:val="auto"/>
          <w:kern w:val="0"/>
          <w:sz w:val="44"/>
          <w:szCs w:val="44"/>
          <w:lang w:eastAsia="zh-CN"/>
        </w:rPr>
        <w:t>六安市农业农村局</w:t>
      </w:r>
      <w:r>
        <w:rPr>
          <w:rFonts w:hint="default" w:ascii="Times New Roman" w:hAnsi="Times New Roman" w:eastAsia="方正小标宋_GBK" w:cs="Times New Roman"/>
          <w:color w:val="auto"/>
          <w:kern w:val="0"/>
          <w:sz w:val="44"/>
          <w:szCs w:val="44"/>
          <w:lang w:val="en-US" w:eastAsia="zh-CN"/>
        </w:rPr>
        <w:t>2025年政</w:t>
      </w:r>
      <w:r>
        <w:rPr>
          <w:rFonts w:hint="default" w:ascii="Times New Roman" w:hAnsi="Times New Roman" w:eastAsia="方正小标宋_GBK" w:cs="Times New Roman"/>
          <w:color w:val="auto"/>
          <w:kern w:val="0"/>
          <w:sz w:val="44"/>
          <w:szCs w:val="44"/>
        </w:rPr>
        <w:t>府信息公开工作年度报告</w:t>
      </w:r>
    </w:p>
    <w:p>
      <w:pPr>
        <w:keepNext w:val="0"/>
        <w:keepLines w:val="0"/>
        <w:pageBreakBefore w:val="0"/>
        <w:widowControl/>
        <w:shd w:val="clear" w:color="auto" w:fill="FFFFFF"/>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s="Times New Roman"/>
          <w:color w:val="auto"/>
          <w:kern w:val="0"/>
          <w:sz w:val="44"/>
          <w:szCs w:val="44"/>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方正仿宋_GBK" w:cs="Times New Roman"/>
          <w:color w:val="auto"/>
          <w:kern w:val="0"/>
          <w:sz w:val="32"/>
          <w:szCs w:val="32"/>
        </w:rPr>
        <w:t>本报告依据《中华人民共和国政府信息公开条例》和《六安市政务公开办公室关于做好政府信息公开年度报告编制和发布工作的通知》要求编制而成。全文包括总体情况、主动公开政府信息情况、收到和处理政府信息公开申请情况、政府信息公开行政复议和行政诉讼情况、存在的主要问题及改进情况和其他需要报告的事项。本报告中使用数据统计期限为202</w:t>
      </w:r>
      <w:r>
        <w:rPr>
          <w:rFonts w:hint="default"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rPr>
        <w:t>年1月1日至202</w:t>
      </w:r>
      <w:r>
        <w:rPr>
          <w:rFonts w:hint="default"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rPr>
        <w:t>年12月31日，本年度报告电子版可在六安市农业农村局信息公开平台下载。如对本报告有任何疑问，请与六安市农业农村局联系（地址：六安市佛子岭路市行政中心，电话：0564-3379336，邮编：237000）。</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b w:val="0"/>
          <w:bCs w:val="0"/>
          <w:color w:val="auto"/>
          <w:kern w:val="0"/>
          <w:sz w:val="24"/>
          <w:szCs w:val="32"/>
        </w:rPr>
      </w:pPr>
      <w:r>
        <w:rPr>
          <w:rFonts w:hint="eastAsia" w:ascii="方正黑体_GBK" w:hAnsi="方正黑体_GBK" w:eastAsia="方正黑体_GBK" w:cs="方正黑体_GBK"/>
          <w:b w:val="0"/>
          <w:bCs w:val="0"/>
          <w:color w:val="auto"/>
          <w:kern w:val="0"/>
          <w:sz w:val="32"/>
          <w:szCs w:val="32"/>
        </w:rPr>
        <w:t>一、总体情况</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方正楷体_GBK" w:hAnsi="方正楷体_GBK" w:eastAsia="方正楷体_GBK" w:cs="方正楷体_GBK"/>
          <w:b w:val="0"/>
          <w:bCs w:val="0"/>
          <w:color w:val="auto"/>
          <w:kern w:val="0"/>
          <w:sz w:val="32"/>
          <w:szCs w:val="32"/>
          <w:shd w:val="clear" w:color="auto" w:fill="FFFFFF"/>
          <w:lang w:val="en-US" w:eastAsia="zh-CN" w:bidi="ar-SA"/>
        </w:rPr>
        <w:t>（一）主动公开。</w:t>
      </w:r>
      <w:r>
        <w:rPr>
          <w:rFonts w:hint="default" w:ascii="Times New Roman" w:hAnsi="Times New Roman" w:eastAsia="方正仿宋_GBK" w:cs="Times New Roman"/>
          <w:color w:val="auto"/>
          <w:kern w:val="0"/>
          <w:sz w:val="32"/>
          <w:szCs w:val="32"/>
          <w:lang w:val="en-US" w:eastAsia="zh-CN"/>
        </w:rPr>
        <w:t>一是同步更新部门信息。结合局属事业单位机构改革进展，及时调整并公布职责分工及内设机构设置，保障公众及时准确获取信息。</w:t>
      </w:r>
      <w:r>
        <w:rPr>
          <w:rFonts w:hint="default" w:ascii="Times New Roman" w:hAnsi="Times New Roman" w:eastAsia="方正仿宋_GBK" w:cs="Times New Roman"/>
          <w:color w:val="auto"/>
          <w:kern w:val="0"/>
          <w:sz w:val="32"/>
          <w:szCs w:val="32"/>
          <w:lang w:val="en-US" w:eastAsia="zh-CN"/>
        </w:rPr>
        <w:t>二是持续优化主动公开目录</w:t>
      </w:r>
      <w:r>
        <w:rPr>
          <w:rFonts w:hint="eastAsia" w:ascii="Times New Roman" w:hAnsi="Times New Roman" w:eastAsia="方正仿宋_GBK" w:cs="Times New Roman"/>
          <w:color w:val="auto"/>
          <w:kern w:val="0"/>
          <w:sz w:val="32"/>
          <w:szCs w:val="32"/>
          <w:lang w:val="en-US" w:eastAsia="zh-CN"/>
        </w:rPr>
        <w:t>。参照统一标准，进行主动公开目录调整，</w:t>
      </w:r>
      <w:r>
        <w:rPr>
          <w:rFonts w:hint="default" w:ascii="Times New Roman" w:hAnsi="Times New Roman" w:eastAsia="方正仿宋_GBK" w:cs="Times New Roman"/>
          <w:color w:val="auto"/>
          <w:kern w:val="0"/>
          <w:sz w:val="32"/>
          <w:szCs w:val="32"/>
          <w:lang w:val="en-US" w:eastAsia="zh-CN"/>
        </w:rPr>
        <w:t>有效提升</w:t>
      </w:r>
      <w:r>
        <w:rPr>
          <w:rFonts w:hint="eastAsia" w:ascii="Times New Roman" w:hAnsi="Times New Roman" w:eastAsia="方正仿宋_GBK" w:cs="Times New Roman"/>
          <w:color w:val="auto"/>
          <w:kern w:val="0"/>
          <w:sz w:val="32"/>
          <w:szCs w:val="32"/>
          <w:lang w:val="en-US" w:eastAsia="zh-CN"/>
        </w:rPr>
        <w:t>了</w:t>
      </w:r>
      <w:r>
        <w:rPr>
          <w:rFonts w:hint="default" w:ascii="Times New Roman" w:hAnsi="Times New Roman" w:eastAsia="方正仿宋_GBK" w:cs="Times New Roman"/>
          <w:color w:val="auto"/>
          <w:kern w:val="0"/>
          <w:sz w:val="32"/>
          <w:szCs w:val="32"/>
          <w:lang w:val="en-US" w:eastAsia="zh-CN"/>
        </w:rPr>
        <w:t>信息检索的便捷性与浏览体验。</w:t>
      </w:r>
      <w:r>
        <w:rPr>
          <w:rFonts w:hint="default" w:ascii="Times New Roman" w:hAnsi="Times New Roman" w:eastAsia="方正仿宋_GBK" w:cs="Times New Roman"/>
          <w:color w:val="auto"/>
          <w:kern w:val="0"/>
          <w:sz w:val="32"/>
          <w:szCs w:val="32"/>
          <w:lang w:val="en-US" w:eastAsia="zh-CN"/>
        </w:rPr>
        <w:t>三是聚焦政策解读质量提升。以省级优秀案例为标杆，对</w:t>
      </w:r>
      <w:r>
        <w:rPr>
          <w:rFonts w:hint="eastAsia" w:ascii="Times New Roman" w:hAnsi="Times New Roman" w:eastAsia="方正仿宋_GBK" w:cs="Times New Roman"/>
          <w:color w:val="auto"/>
          <w:kern w:val="0"/>
          <w:sz w:val="32"/>
          <w:szCs w:val="32"/>
          <w:lang w:val="en-US" w:eastAsia="zh-CN"/>
        </w:rPr>
        <w:t>全局</w:t>
      </w:r>
      <w:r>
        <w:rPr>
          <w:rFonts w:hint="default" w:ascii="Times New Roman" w:hAnsi="Times New Roman" w:eastAsia="方正仿宋_GBK" w:cs="Times New Roman"/>
          <w:color w:val="auto"/>
          <w:kern w:val="0"/>
          <w:sz w:val="32"/>
          <w:szCs w:val="32"/>
          <w:lang w:val="en-US" w:eastAsia="zh-CN"/>
        </w:rPr>
        <w:t>2018年以来制定的规范性文件</w:t>
      </w:r>
      <w:r>
        <w:rPr>
          <w:rFonts w:hint="eastAsia" w:ascii="Times New Roman" w:hAnsi="Times New Roman" w:eastAsia="方正仿宋_GBK" w:cs="Times New Roman"/>
          <w:color w:val="auto"/>
          <w:kern w:val="0"/>
          <w:sz w:val="32"/>
          <w:szCs w:val="32"/>
          <w:lang w:val="en-US" w:eastAsia="zh-CN"/>
        </w:rPr>
        <w:t>文字</w:t>
      </w:r>
      <w:r>
        <w:rPr>
          <w:rFonts w:hint="default" w:ascii="Times New Roman" w:hAnsi="Times New Roman" w:eastAsia="方正仿宋_GBK" w:cs="Times New Roman"/>
          <w:color w:val="auto"/>
          <w:kern w:val="0"/>
          <w:sz w:val="32"/>
          <w:szCs w:val="32"/>
          <w:lang w:val="en-US" w:eastAsia="zh-CN"/>
        </w:rPr>
        <w:t>解读材料进行了校核。今年已完成26个本级</w:t>
      </w:r>
      <w:r>
        <w:rPr>
          <w:rFonts w:hint="eastAsia" w:ascii="Times New Roman" w:hAnsi="Times New Roman" w:eastAsia="方正仿宋_GBK" w:cs="Times New Roman"/>
          <w:color w:val="auto"/>
          <w:kern w:val="0"/>
          <w:sz w:val="32"/>
          <w:szCs w:val="32"/>
          <w:lang w:val="en-US" w:eastAsia="zh-CN"/>
        </w:rPr>
        <w:t>规范性</w:t>
      </w:r>
      <w:r>
        <w:rPr>
          <w:rFonts w:hint="default" w:ascii="Times New Roman" w:hAnsi="Times New Roman" w:eastAsia="方正仿宋_GBK" w:cs="Times New Roman"/>
          <w:color w:val="auto"/>
          <w:kern w:val="0"/>
          <w:sz w:val="32"/>
          <w:szCs w:val="32"/>
          <w:lang w:val="en-US" w:eastAsia="zh-CN"/>
        </w:rPr>
        <w:t>文件的解读校核工作，其中包括19个文字解读、4个政策图解及3场新闻发布会解读，推动政策传达更加精准、易懂。四是紧抓重点领域信息公开。围绕重点领域信息公开。聚焦农村土地承包经营权流转、农产品“三品一标”、巩固拓展脱贫攻坚成果同乡村振兴有效衔接等关键领域，设立专题</w:t>
      </w:r>
      <w:r>
        <w:rPr>
          <w:rFonts w:hint="eastAsia" w:ascii="Times New Roman" w:hAnsi="Times New Roman" w:eastAsia="方正仿宋_GBK" w:cs="Times New Roman"/>
          <w:color w:val="auto"/>
          <w:kern w:val="0"/>
          <w:sz w:val="32"/>
          <w:szCs w:val="32"/>
          <w:lang w:val="en-US" w:eastAsia="zh-CN"/>
        </w:rPr>
        <w:t>栏目</w:t>
      </w:r>
      <w:r>
        <w:rPr>
          <w:rFonts w:hint="default" w:ascii="Times New Roman" w:hAnsi="Times New Roman" w:eastAsia="方正仿宋_GBK" w:cs="Times New Roman"/>
          <w:color w:val="auto"/>
          <w:kern w:val="0"/>
          <w:sz w:val="32"/>
          <w:szCs w:val="32"/>
          <w:lang w:val="en-US" w:eastAsia="zh-CN"/>
        </w:rPr>
        <w:t>并规范管理，全年公开信息52条。五是</w:t>
      </w:r>
      <w:r>
        <w:rPr>
          <w:rFonts w:hint="eastAsia" w:ascii="Times New Roman" w:hAnsi="Times New Roman" w:eastAsia="方正仿宋_GBK" w:cs="Times New Roman"/>
          <w:color w:val="auto"/>
          <w:kern w:val="0"/>
          <w:sz w:val="32"/>
          <w:szCs w:val="32"/>
          <w:lang w:val="en-US" w:eastAsia="zh-CN"/>
        </w:rPr>
        <w:t>增强公开回应成效</w:t>
      </w:r>
      <w:r>
        <w:rPr>
          <w:rFonts w:hint="default" w:ascii="Times New Roman" w:hAnsi="Times New Roman" w:eastAsia="方正仿宋_GBK" w:cs="Times New Roman"/>
          <w:color w:val="auto"/>
          <w:kern w:val="0"/>
          <w:sz w:val="32"/>
          <w:szCs w:val="32"/>
          <w:lang w:val="en-US" w:eastAsia="zh-CN"/>
        </w:rPr>
        <w:t>。围绕农村改革、和美乡村建设等热点问题</w:t>
      </w:r>
      <w:r>
        <w:rPr>
          <w:rFonts w:hint="eastAsia" w:ascii="Times New Roman" w:hAnsi="Times New Roman" w:eastAsia="方正仿宋_GBK" w:cs="Times New Roman"/>
          <w:color w:val="auto"/>
          <w:kern w:val="0"/>
          <w:sz w:val="32"/>
          <w:szCs w:val="32"/>
          <w:lang w:val="en-US" w:eastAsia="zh-CN"/>
        </w:rPr>
        <w:t>作出积极</w:t>
      </w:r>
      <w:r>
        <w:rPr>
          <w:rFonts w:hint="default" w:ascii="Times New Roman" w:hAnsi="Times New Roman" w:eastAsia="方正仿宋_GBK" w:cs="Times New Roman"/>
          <w:color w:val="auto"/>
          <w:kern w:val="0"/>
          <w:sz w:val="32"/>
          <w:szCs w:val="32"/>
          <w:lang w:val="en-US" w:eastAsia="zh-CN"/>
        </w:rPr>
        <w:t>回应，</w:t>
      </w:r>
      <w:r>
        <w:rPr>
          <w:rFonts w:hint="eastAsia" w:ascii="Times New Roman" w:hAnsi="Times New Roman" w:eastAsia="方正仿宋_GBK" w:cs="Times New Roman"/>
          <w:color w:val="auto"/>
          <w:kern w:val="0"/>
          <w:sz w:val="32"/>
          <w:szCs w:val="32"/>
          <w:lang w:val="en-US" w:eastAsia="zh-CN"/>
        </w:rPr>
        <w:t>共</w:t>
      </w:r>
      <w:r>
        <w:rPr>
          <w:rFonts w:hint="default" w:ascii="Times New Roman" w:hAnsi="Times New Roman" w:eastAsia="方正仿宋_GBK" w:cs="Times New Roman"/>
          <w:color w:val="auto"/>
          <w:kern w:val="0"/>
          <w:sz w:val="32"/>
          <w:szCs w:val="32"/>
          <w:lang w:val="en-US" w:eastAsia="zh-CN"/>
        </w:rPr>
        <w:t>办理</w:t>
      </w:r>
      <w:r>
        <w:rPr>
          <w:rFonts w:hint="eastAsia" w:ascii="Times New Roman" w:hAnsi="Times New Roman" w:eastAsia="方正仿宋_GBK" w:cs="Times New Roman"/>
          <w:color w:val="auto"/>
          <w:kern w:val="0"/>
          <w:sz w:val="32"/>
          <w:szCs w:val="32"/>
          <w:lang w:val="en-US" w:eastAsia="zh-CN"/>
        </w:rPr>
        <w:t>295</w:t>
      </w:r>
      <w:r>
        <w:rPr>
          <w:rFonts w:hint="default" w:ascii="Times New Roman" w:hAnsi="Times New Roman" w:eastAsia="方正仿宋_GBK" w:cs="Times New Roman"/>
          <w:color w:val="auto"/>
          <w:kern w:val="0"/>
          <w:sz w:val="32"/>
          <w:szCs w:val="32"/>
          <w:lang w:val="en-US" w:eastAsia="zh-CN"/>
        </w:rPr>
        <w:t>条12345热线，发布</w:t>
      </w:r>
      <w:r>
        <w:rPr>
          <w:rFonts w:hint="eastAsia" w:ascii="Times New Roman" w:hAnsi="Times New Roman" w:eastAsia="方正仿宋_GBK" w:cs="Times New Roman"/>
          <w:color w:val="auto"/>
          <w:kern w:val="0"/>
          <w:sz w:val="32"/>
          <w:szCs w:val="32"/>
          <w:lang w:val="en-US" w:eastAsia="zh-CN"/>
        </w:rPr>
        <w:t>35</w:t>
      </w:r>
      <w:r>
        <w:rPr>
          <w:rFonts w:hint="default" w:ascii="Times New Roman" w:hAnsi="Times New Roman" w:eastAsia="方正仿宋_GBK" w:cs="Times New Roman"/>
          <w:color w:val="auto"/>
          <w:kern w:val="0"/>
          <w:sz w:val="32"/>
          <w:szCs w:val="32"/>
          <w:lang w:val="en-US" w:eastAsia="zh-CN"/>
        </w:rPr>
        <w:t>条主动回应信息</w:t>
      </w:r>
      <w:r>
        <w:rPr>
          <w:rFonts w:hint="eastAsia" w:ascii="Times New Roman" w:hAnsi="Times New Roman" w:eastAsia="方正仿宋_GBK" w:cs="Times New Roman"/>
          <w:color w:val="auto"/>
          <w:kern w:val="0"/>
          <w:sz w:val="32"/>
          <w:szCs w:val="32"/>
          <w:lang w:val="en-US" w:eastAsia="zh-CN"/>
        </w:rPr>
        <w:t>、召开2</w:t>
      </w:r>
      <w:r>
        <w:rPr>
          <w:rFonts w:hint="default" w:ascii="Times New Roman" w:hAnsi="Times New Roman" w:eastAsia="方正仿宋_GBK" w:cs="Times New Roman"/>
          <w:color w:val="auto"/>
          <w:kern w:val="0"/>
          <w:sz w:val="32"/>
          <w:szCs w:val="32"/>
          <w:lang w:val="en-US" w:eastAsia="zh-CN"/>
        </w:rPr>
        <w:t>场新闻发布会。六是夯实基层政务公开基础。通过召开专题培训会</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持续推动县（区）农业农村部门提升公开工作的标准化与规范化水平。</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default" w:ascii="Times New Roman" w:hAnsi="Times New Roman" w:eastAsia="方正仿宋_GBK" w:cs="Times New Roman"/>
          <w:b w:val="0"/>
          <w:bCs w:val="0"/>
          <w:color w:val="auto"/>
          <w:kern w:val="0"/>
          <w:sz w:val="24"/>
          <w:szCs w:val="24"/>
          <w:shd w:val="clear" w:color="auto" w:fill="FFFFFF"/>
          <w:lang w:val="en-US" w:eastAsia="zh-CN" w:bidi="ar-SA"/>
        </w:rPr>
      </w:pPr>
      <w:r>
        <w:rPr>
          <w:rFonts w:hint="default" w:ascii="方正楷体_GBK" w:hAnsi="方正楷体_GBK" w:eastAsia="方正楷体_GBK" w:cs="方正楷体_GBK"/>
          <w:b w:val="0"/>
          <w:bCs w:val="0"/>
          <w:color w:val="auto"/>
          <w:kern w:val="0"/>
          <w:sz w:val="32"/>
          <w:szCs w:val="32"/>
          <w:shd w:val="clear" w:color="auto" w:fill="FFFFFF"/>
          <w:lang w:val="en-US" w:eastAsia="zh-CN" w:bidi="ar-SA"/>
        </w:rPr>
        <w:t>（二）依申请公开。</w:t>
      </w:r>
      <w:r>
        <w:rPr>
          <w:rFonts w:hint="default" w:ascii="Times New Roman" w:hAnsi="Times New Roman" w:eastAsia="方正仿宋_GBK" w:cs="Times New Roman"/>
          <w:color w:val="auto"/>
          <w:kern w:val="0"/>
          <w:sz w:val="32"/>
          <w:szCs w:val="32"/>
          <w:lang w:val="en-US" w:eastAsia="zh-CN"/>
        </w:rPr>
        <w:t>202</w:t>
      </w:r>
      <w:r>
        <w:rPr>
          <w:rFonts w:hint="eastAsia"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lang w:val="en-US" w:eastAsia="zh-CN"/>
        </w:rPr>
        <w:t>年，我局收到依申请公开</w:t>
      </w:r>
      <w:r>
        <w:rPr>
          <w:rFonts w:hint="eastAsia"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lang w:val="en-US" w:eastAsia="zh-CN"/>
        </w:rPr>
        <w:t>件，</w:t>
      </w:r>
      <w:r>
        <w:rPr>
          <w:rFonts w:hint="eastAsia" w:ascii="Times New Roman" w:hAnsi="Times New Roman" w:eastAsia="方正仿宋_GBK" w:cs="Times New Roman"/>
          <w:color w:val="auto"/>
          <w:kern w:val="0"/>
          <w:sz w:val="32"/>
          <w:szCs w:val="32"/>
          <w:lang w:val="en-US" w:eastAsia="zh-CN"/>
        </w:rPr>
        <w:t>按照</w:t>
      </w:r>
      <w:r>
        <w:rPr>
          <w:rFonts w:hint="default" w:ascii="Times New Roman" w:hAnsi="Times New Roman" w:eastAsia="方正仿宋_GBK" w:cs="Times New Roman"/>
          <w:color w:val="auto"/>
          <w:kern w:val="0"/>
          <w:sz w:val="32"/>
          <w:szCs w:val="32"/>
          <w:lang w:val="en-US" w:eastAsia="zh-CN"/>
        </w:rPr>
        <w:t>全流程闭环管理机制规范办理</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未发生因依申请公开而引发行政复议、行政诉讼等情况。</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default" w:ascii="Times New Roman" w:hAnsi="Times New Roman" w:eastAsia="方正仿宋_GBK" w:cs="Times New Roman"/>
          <w:b w:val="0"/>
          <w:bCs w:val="0"/>
          <w:color w:val="auto"/>
          <w:kern w:val="0"/>
          <w:sz w:val="24"/>
          <w:szCs w:val="24"/>
          <w:shd w:val="clear" w:color="auto" w:fill="FFFFFF"/>
          <w:lang w:val="en-US" w:eastAsia="zh-CN" w:bidi="ar-SA"/>
        </w:rPr>
      </w:pPr>
      <w:r>
        <w:rPr>
          <w:rFonts w:hint="default" w:ascii="方正楷体_GBK" w:hAnsi="方正楷体_GBK" w:eastAsia="方正楷体_GBK" w:cs="方正楷体_GBK"/>
          <w:b w:val="0"/>
          <w:bCs w:val="0"/>
          <w:color w:val="auto"/>
          <w:kern w:val="0"/>
          <w:sz w:val="32"/>
          <w:szCs w:val="32"/>
          <w:shd w:val="clear" w:color="auto" w:fill="FFFFFF"/>
          <w:lang w:val="en-US" w:eastAsia="zh-CN" w:bidi="ar-SA"/>
        </w:rPr>
        <w:t>（三）政府信息管理。</w:t>
      </w:r>
      <w:r>
        <w:rPr>
          <w:rFonts w:hint="default" w:ascii="Times New Roman" w:hAnsi="Times New Roman" w:eastAsia="方正仿宋_GBK" w:cs="Times New Roman"/>
          <w:color w:val="auto"/>
          <w:kern w:val="0"/>
          <w:sz w:val="32"/>
          <w:szCs w:val="32"/>
          <w:lang w:val="en-US" w:eastAsia="zh-CN"/>
        </w:rPr>
        <w:t>对规范性文件公开情况进行了系统梳理，对已公开的规范性文件及其废止、失效文件的网页版和下载版逐项核查，确保公开内容符合标准、要素完整、格式规范。按要求定期开展局网站错别字、敏感词以及个人隐私信息排查，严格执行政府信息公开保密审查制度和网站信息发布管理机制。202</w:t>
      </w:r>
      <w:r>
        <w:rPr>
          <w:rFonts w:hint="eastAsia"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lang w:val="en-US" w:eastAsia="zh-CN"/>
        </w:rPr>
        <w:t>年，共进行网站信息排查</w:t>
      </w:r>
      <w:r>
        <w:rPr>
          <w:rFonts w:hint="eastAsia" w:ascii="Times New Roman" w:hAnsi="Times New Roman" w:eastAsia="方正仿宋_GBK" w:cs="Times New Roman"/>
          <w:color w:val="auto"/>
          <w:kern w:val="0"/>
          <w:sz w:val="32"/>
          <w:szCs w:val="32"/>
          <w:lang w:val="en-US" w:eastAsia="zh-CN"/>
        </w:rPr>
        <w:t>14</w:t>
      </w:r>
      <w:r>
        <w:rPr>
          <w:rFonts w:hint="default" w:ascii="Times New Roman" w:hAnsi="Times New Roman" w:eastAsia="方正仿宋_GBK" w:cs="Times New Roman"/>
          <w:color w:val="auto"/>
          <w:kern w:val="0"/>
          <w:sz w:val="32"/>
          <w:szCs w:val="32"/>
          <w:lang w:val="en-US" w:eastAsia="zh-CN"/>
        </w:rPr>
        <w:t>次，未出现个人隐私泄露情况。</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default" w:ascii="Times New Roman" w:hAnsi="Times New Roman" w:eastAsia="方正仿宋_GBK" w:cs="Times New Roman"/>
          <w:b w:val="0"/>
          <w:bCs w:val="0"/>
          <w:color w:val="auto"/>
          <w:kern w:val="0"/>
          <w:sz w:val="24"/>
          <w:szCs w:val="24"/>
          <w:shd w:val="clear" w:color="auto" w:fill="FFFFFF"/>
          <w:lang w:val="en-US" w:eastAsia="zh-CN" w:bidi="ar-SA"/>
        </w:rPr>
      </w:pPr>
      <w:r>
        <w:rPr>
          <w:rFonts w:hint="default" w:ascii="方正楷体_GBK" w:hAnsi="方正楷体_GBK" w:eastAsia="方正楷体_GBK" w:cs="方正楷体_GBK"/>
          <w:b w:val="0"/>
          <w:bCs w:val="0"/>
          <w:color w:val="auto"/>
          <w:kern w:val="0"/>
          <w:sz w:val="32"/>
          <w:szCs w:val="32"/>
          <w:shd w:val="clear" w:color="auto" w:fill="FFFFFF"/>
          <w:lang w:val="en-US" w:eastAsia="zh-CN" w:bidi="ar-SA"/>
        </w:rPr>
        <w:t>（四）政府信息公开平台建设情况。</w:t>
      </w:r>
      <w:r>
        <w:rPr>
          <w:rFonts w:hint="default" w:ascii="Times New Roman" w:hAnsi="Times New Roman" w:eastAsia="方正仿宋_GBK" w:cs="Times New Roman"/>
          <w:color w:val="auto"/>
          <w:kern w:val="0"/>
          <w:sz w:val="32"/>
          <w:szCs w:val="32"/>
          <w:lang w:val="en-US" w:eastAsia="zh-CN"/>
        </w:rPr>
        <w:t>高效</w:t>
      </w:r>
      <w:r>
        <w:rPr>
          <w:rFonts w:hint="eastAsia" w:ascii="Times New Roman" w:hAnsi="Times New Roman" w:eastAsia="方正仿宋_GBK" w:cs="Times New Roman"/>
          <w:color w:val="auto"/>
          <w:kern w:val="0"/>
          <w:sz w:val="32"/>
          <w:szCs w:val="32"/>
          <w:lang w:val="en-US" w:eastAsia="zh-CN"/>
        </w:rPr>
        <w:t>运维管护</w:t>
      </w:r>
      <w:r>
        <w:rPr>
          <w:rFonts w:hint="default" w:ascii="Times New Roman" w:hAnsi="Times New Roman" w:eastAsia="方正仿宋_GBK" w:cs="Times New Roman"/>
          <w:color w:val="auto"/>
          <w:kern w:val="0"/>
          <w:sz w:val="32"/>
          <w:szCs w:val="32"/>
          <w:lang w:val="en-US" w:eastAsia="zh-CN"/>
        </w:rPr>
        <w:t>局网站、微信公众号及官方微博，切实提升了信息发布效率和传播影响力，</w:t>
      </w:r>
      <w:r>
        <w:rPr>
          <w:rFonts w:hint="default" w:ascii="Times New Roman" w:hAnsi="Times New Roman" w:eastAsia="方正仿宋_GBK" w:cs="Times New Roman"/>
          <w:color w:val="auto"/>
          <w:kern w:val="0"/>
          <w:sz w:val="32"/>
          <w:szCs w:val="32"/>
          <w:lang w:val="en-US" w:eastAsia="zh-CN"/>
        </w:rPr>
        <w:t>202</w:t>
      </w:r>
      <w:r>
        <w:rPr>
          <w:rFonts w:hint="eastAsia"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lang w:val="en-US" w:eastAsia="zh-CN"/>
        </w:rPr>
        <w:t>年，</w:t>
      </w:r>
      <w:r>
        <w:rPr>
          <w:rFonts w:hint="eastAsia" w:ascii="Times New Roman" w:hAnsi="Times New Roman" w:eastAsia="方正仿宋_GBK" w:cs="Times New Roman"/>
          <w:color w:val="auto"/>
          <w:kern w:val="0"/>
          <w:sz w:val="32"/>
          <w:szCs w:val="32"/>
          <w:lang w:val="en-US" w:eastAsia="zh-CN"/>
        </w:rPr>
        <w:t>共</w:t>
      </w:r>
      <w:r>
        <w:rPr>
          <w:rFonts w:hint="default" w:ascii="Times New Roman" w:hAnsi="Times New Roman" w:eastAsia="方正仿宋_GBK" w:cs="Times New Roman"/>
          <w:color w:val="auto"/>
          <w:kern w:val="0"/>
          <w:sz w:val="32"/>
          <w:szCs w:val="32"/>
          <w:lang w:val="en-US" w:eastAsia="zh-CN"/>
        </w:rPr>
        <w:t>发布</w:t>
      </w:r>
      <w:r>
        <w:rPr>
          <w:rFonts w:hint="eastAsia" w:ascii="Times New Roman" w:hAnsi="Times New Roman" w:eastAsia="方正仿宋_GBK" w:cs="Times New Roman"/>
          <w:color w:val="auto"/>
          <w:kern w:val="0"/>
          <w:sz w:val="32"/>
          <w:szCs w:val="32"/>
          <w:lang w:val="en-US" w:eastAsia="zh-CN"/>
        </w:rPr>
        <w:t>228</w:t>
      </w:r>
      <w:r>
        <w:rPr>
          <w:rFonts w:hint="default" w:ascii="Times New Roman" w:hAnsi="Times New Roman" w:eastAsia="方正仿宋_GBK" w:cs="Times New Roman"/>
          <w:color w:val="auto"/>
          <w:kern w:val="0"/>
          <w:sz w:val="32"/>
          <w:szCs w:val="32"/>
          <w:lang w:val="en-US" w:eastAsia="zh-CN"/>
        </w:rPr>
        <w:t>条政务资讯信息、</w:t>
      </w:r>
      <w:r>
        <w:rPr>
          <w:rFonts w:hint="eastAsia" w:ascii="Times New Roman" w:hAnsi="Times New Roman" w:eastAsia="方正仿宋_GBK" w:cs="Times New Roman"/>
          <w:color w:val="auto"/>
          <w:kern w:val="0"/>
          <w:sz w:val="32"/>
          <w:szCs w:val="32"/>
          <w:lang w:val="en-US" w:eastAsia="zh-CN"/>
        </w:rPr>
        <w:t>949</w:t>
      </w:r>
      <w:r>
        <w:rPr>
          <w:rFonts w:hint="default" w:ascii="Times New Roman" w:hAnsi="Times New Roman" w:eastAsia="方正仿宋_GBK" w:cs="Times New Roman"/>
          <w:color w:val="auto"/>
          <w:kern w:val="0"/>
          <w:sz w:val="32"/>
          <w:szCs w:val="32"/>
          <w:lang w:val="en-US" w:eastAsia="zh-CN"/>
        </w:rPr>
        <w:t>条微信公众号信息、</w:t>
      </w:r>
      <w:r>
        <w:rPr>
          <w:rFonts w:hint="eastAsia" w:ascii="Times New Roman" w:hAnsi="Times New Roman" w:eastAsia="方正仿宋_GBK" w:cs="Times New Roman"/>
          <w:color w:val="auto"/>
          <w:kern w:val="0"/>
          <w:sz w:val="32"/>
          <w:szCs w:val="32"/>
          <w:lang w:val="en-US" w:eastAsia="zh-CN"/>
        </w:rPr>
        <w:t>924</w:t>
      </w:r>
      <w:r>
        <w:rPr>
          <w:rFonts w:hint="default" w:ascii="Times New Roman" w:hAnsi="Times New Roman" w:eastAsia="方正仿宋_GBK" w:cs="Times New Roman"/>
          <w:color w:val="auto"/>
          <w:kern w:val="0"/>
          <w:sz w:val="32"/>
          <w:szCs w:val="32"/>
          <w:lang w:val="en-US" w:eastAsia="zh-CN"/>
        </w:rPr>
        <w:t>条微博信息。</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default" w:ascii="Times New Roman" w:hAnsi="Times New Roman" w:eastAsia="方正仿宋_GBK" w:cs="Times New Roman"/>
          <w:b w:val="0"/>
          <w:bCs w:val="0"/>
          <w:color w:val="auto"/>
          <w:kern w:val="0"/>
          <w:sz w:val="24"/>
          <w:szCs w:val="24"/>
          <w:shd w:val="clear" w:color="auto" w:fill="FFFFFF"/>
          <w:lang w:val="en-US" w:eastAsia="zh-CN" w:bidi="ar-SA"/>
        </w:rPr>
      </w:pPr>
      <w:r>
        <w:rPr>
          <w:rFonts w:hint="eastAsia" w:ascii="方正楷体_GBK" w:hAnsi="方正楷体_GBK" w:eastAsia="方正楷体_GBK" w:cs="方正楷体_GBK"/>
          <w:b w:val="0"/>
          <w:bCs w:val="0"/>
          <w:color w:val="auto"/>
          <w:kern w:val="0"/>
          <w:sz w:val="32"/>
          <w:szCs w:val="32"/>
          <w:shd w:val="clear" w:color="auto" w:fill="FFFFFF"/>
          <w:lang w:val="en-US" w:eastAsia="zh-CN" w:bidi="ar-SA"/>
        </w:rPr>
        <w:t>（五）监督保障。</w:t>
      </w:r>
      <w:r>
        <w:rPr>
          <w:rFonts w:hint="default" w:ascii="Times New Roman" w:hAnsi="Times New Roman" w:eastAsia="方正仿宋_GBK" w:cs="Times New Roman"/>
          <w:color w:val="auto"/>
          <w:kern w:val="0"/>
          <w:sz w:val="32"/>
          <w:szCs w:val="32"/>
          <w:lang w:val="en-US" w:eastAsia="zh-CN"/>
        </w:rPr>
        <w:t>优化政务公开工作领导小组构成，</w:t>
      </w:r>
      <w:r>
        <w:rPr>
          <w:rFonts w:hint="eastAsia" w:ascii="Times New Roman" w:hAnsi="Times New Roman" w:eastAsia="方正仿宋_GBK" w:cs="Times New Roman"/>
          <w:color w:val="auto"/>
          <w:kern w:val="0"/>
          <w:sz w:val="32"/>
          <w:szCs w:val="32"/>
          <w:lang w:val="en-US" w:eastAsia="zh-CN"/>
        </w:rPr>
        <w:t>发布</w:t>
      </w:r>
      <w:r>
        <w:rPr>
          <w:rFonts w:hint="default" w:ascii="Times New Roman" w:hAnsi="Times New Roman" w:eastAsia="方正仿宋_GBK" w:cs="Times New Roman"/>
          <w:color w:val="auto"/>
          <w:kern w:val="0"/>
          <w:sz w:val="32"/>
          <w:szCs w:val="32"/>
          <w:lang w:val="en-US" w:eastAsia="zh-CN"/>
        </w:rPr>
        <w:t>《六安市农业农村局2025年度政务公开分管领导及经办人员安排》</w:t>
      </w:r>
      <w:r>
        <w:rPr>
          <w:rFonts w:hint="eastAsia" w:ascii="Times New Roman" w:hAnsi="Times New Roman" w:eastAsia="方正仿宋_GBK" w:cs="Times New Roman"/>
          <w:color w:val="auto"/>
          <w:kern w:val="0"/>
          <w:sz w:val="32"/>
          <w:szCs w:val="32"/>
          <w:lang w:val="en-US" w:eastAsia="zh-CN"/>
        </w:rPr>
        <w:t>。根据人员变动情况，及时调整充实局政务公开工作领导小组，</w:t>
      </w:r>
      <w:r>
        <w:rPr>
          <w:rFonts w:hint="default" w:ascii="Times New Roman" w:hAnsi="Times New Roman" w:eastAsia="方正仿宋_GBK" w:cs="Times New Roman"/>
          <w:color w:val="auto"/>
          <w:kern w:val="0"/>
          <w:sz w:val="32"/>
          <w:szCs w:val="32"/>
          <w:lang w:val="en-US" w:eastAsia="zh-CN"/>
        </w:rPr>
        <w:t>将政务公开纳入全局重点任务安排，细化落实至各科室及相关单位，并按季度开展进展调度与督促。积极参与市级政务公开主管部门组织的业务培训，并面向全市农业系统组织开展政务公开专题培训会1次，有效提升相关人员履职能力。</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420"/>
        <w:jc w:val="both"/>
        <w:textAlignment w:val="auto"/>
        <w:rPr>
          <w:rFonts w:hint="default" w:ascii="Times New Roman" w:hAnsi="Times New Roman" w:eastAsia="方正仿宋_GBK" w:cs="Times New Roman"/>
          <w:b w:val="0"/>
          <w:bCs w:val="0"/>
          <w:color w:val="auto"/>
          <w:kern w:val="0"/>
          <w:sz w:val="24"/>
          <w:szCs w:val="24"/>
          <w:lang w:val="en-US" w:eastAsia="zh-CN" w:bidi="ar-SA"/>
        </w:rPr>
      </w:pPr>
      <w:r>
        <w:rPr>
          <w:rFonts w:hint="eastAsia" w:ascii="方正黑体_GBK" w:hAnsi="方正黑体_GBK" w:eastAsia="方正黑体_GBK" w:cs="方正黑体_GBK"/>
          <w:b w:val="0"/>
          <w:bCs w:val="0"/>
          <w:color w:val="auto"/>
          <w:kern w:val="0"/>
          <w:sz w:val="32"/>
          <w:szCs w:val="32"/>
          <w:shd w:val="clear" w:color="auto" w:fill="FFFFFF"/>
          <w:lang w:val="en-US" w:eastAsia="zh-CN" w:bidi="ar-SA"/>
        </w:rPr>
        <w:t>二、主动公开政府信息情况</w:t>
      </w:r>
    </w:p>
    <w:tbl>
      <w:tblPr>
        <w:tblStyle w:val="3"/>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567" w:hRule="exac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第二十条第（一）项</w:t>
            </w:r>
          </w:p>
        </w:tc>
      </w:tr>
      <w:tr>
        <w:tblPrEx>
          <w:tblCellMar>
            <w:top w:w="0" w:type="dxa"/>
            <w:left w:w="0" w:type="dxa"/>
            <w:bottom w:w="0" w:type="dxa"/>
            <w:right w:w="0" w:type="dxa"/>
          </w:tblCellMar>
        </w:tblPrEx>
        <w:trPr>
          <w:trHeight w:val="567" w:hRule="exac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现行有效件数</w:t>
            </w:r>
          </w:p>
        </w:tc>
      </w:tr>
      <w:tr>
        <w:tblPrEx>
          <w:tblCellMar>
            <w:top w:w="0" w:type="dxa"/>
            <w:left w:w="0" w:type="dxa"/>
            <w:bottom w:w="0" w:type="dxa"/>
            <w:right w:w="0" w:type="dxa"/>
          </w:tblCellMar>
        </w:tblPrEx>
        <w:trPr>
          <w:trHeight w:val="567" w:hRule="exac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　</w:t>
            </w:r>
            <w:r>
              <w:rPr>
                <w:rFonts w:hint="default" w:ascii="Times New Roman" w:hAnsi="Times New Roman" w:eastAsia="宋体" w:cs="Times New Roman"/>
                <w:color w:val="auto"/>
                <w:kern w:val="0"/>
                <w:sz w:val="20"/>
                <w:szCs w:val="20"/>
                <w:lang w:val="en-US" w:eastAsia="zh-CN"/>
              </w:rPr>
              <w:t>0</w:t>
            </w:r>
            <w:r>
              <w:rPr>
                <w:rFonts w:hint="default" w:ascii="Times New Roman" w:hAnsi="Times New Roman" w:eastAsia="宋体" w:cs="Times New Roman"/>
                <w:color w:val="auto"/>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rPr>
              <w:t> 　</w:t>
            </w:r>
            <w:r>
              <w:rPr>
                <w:rFonts w:hint="default" w:ascii="Times New Roman" w:hAnsi="Times New Roman" w:eastAsia="宋体" w:cs="Times New Roman"/>
                <w:color w:val="auto"/>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rPr>
              <w:t> </w:t>
            </w:r>
            <w:r>
              <w:rPr>
                <w:rFonts w:hint="default" w:ascii="Times New Roman" w:hAnsi="Times New Roman" w:eastAsia="宋体" w:cs="Times New Roman"/>
                <w:color w:val="auto"/>
                <w:kern w:val="0"/>
                <w:sz w:val="20"/>
                <w:szCs w:val="20"/>
                <w:lang w:val="en-US" w:eastAsia="zh-CN"/>
              </w:rPr>
              <w:t>0</w:t>
            </w:r>
          </w:p>
        </w:tc>
      </w:tr>
      <w:tr>
        <w:tblPrEx>
          <w:tblCellMar>
            <w:top w:w="0" w:type="dxa"/>
            <w:left w:w="0" w:type="dxa"/>
            <w:bottom w:w="0" w:type="dxa"/>
            <w:right w:w="0" w:type="dxa"/>
          </w:tblCellMar>
        </w:tblPrEx>
        <w:trPr>
          <w:trHeight w:val="567" w:hRule="exac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rPr>
              <w:t>　</w:t>
            </w:r>
            <w:r>
              <w:rPr>
                <w:rFonts w:hint="default" w:ascii="Times New Roman" w:hAnsi="Times New Roman" w:eastAsia="宋体" w:cs="Times New Roman"/>
                <w:color w:val="auto"/>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rPr>
              <w:t> 　</w:t>
            </w:r>
            <w:r>
              <w:rPr>
                <w:rFonts w:hint="default" w:ascii="Times New Roman" w:hAnsi="Times New Roman" w:eastAsia="宋体" w:cs="Times New Roman"/>
                <w:color w:val="auto"/>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3</w:t>
            </w:r>
          </w:p>
        </w:tc>
      </w:tr>
      <w:tr>
        <w:tblPrEx>
          <w:tblCellMar>
            <w:top w:w="0" w:type="dxa"/>
            <w:left w:w="0" w:type="dxa"/>
            <w:bottom w:w="0" w:type="dxa"/>
            <w:right w:w="0" w:type="dxa"/>
          </w:tblCellMar>
        </w:tblPrEx>
        <w:trPr>
          <w:trHeight w:val="567" w:hRule="exac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第二十条第（五）项</w:t>
            </w:r>
          </w:p>
        </w:tc>
      </w:tr>
      <w:tr>
        <w:tblPrEx>
          <w:tblCellMar>
            <w:top w:w="0" w:type="dxa"/>
            <w:left w:w="0" w:type="dxa"/>
            <w:bottom w:w="0" w:type="dxa"/>
            <w:right w:w="0" w:type="dxa"/>
          </w:tblCellMar>
        </w:tblPrEx>
        <w:trPr>
          <w:trHeight w:val="567" w:hRule="exac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本年处理决定数量</w:t>
            </w:r>
          </w:p>
        </w:tc>
      </w:tr>
      <w:tr>
        <w:tblPrEx>
          <w:tblCellMar>
            <w:top w:w="0" w:type="dxa"/>
            <w:left w:w="0" w:type="dxa"/>
            <w:bottom w:w="0" w:type="dxa"/>
            <w:right w:w="0" w:type="dxa"/>
          </w:tblCellMar>
        </w:tblPrEx>
        <w:trPr>
          <w:trHeight w:val="567" w:hRule="exact"/>
          <w:jc w:val="center"/>
        </w:trPr>
        <w:tc>
          <w:tcPr>
            <w:tcW w:w="2435" w:type="dxa"/>
            <w:tcBorders>
              <w:top w:val="nil"/>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行政许可</w:t>
            </w:r>
          </w:p>
        </w:tc>
        <w:tc>
          <w:tcPr>
            <w:tcW w:w="7305" w:type="dxa"/>
            <w:gridSpan w:val="3"/>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20"/>
                <w:szCs w:val="20"/>
                <w:lang w:val="en-US" w:eastAsia="zh-CN"/>
              </w:rPr>
              <w:t>11</w:t>
            </w:r>
          </w:p>
        </w:tc>
      </w:tr>
      <w:tr>
        <w:trPr>
          <w:trHeight w:val="567" w:hRule="exact"/>
          <w:jc w:val="center"/>
        </w:trPr>
        <w:tc>
          <w:tcPr>
            <w:tcW w:w="9740" w:type="dxa"/>
            <w:gridSpan w:val="4"/>
            <w:tcBorders>
              <w:top w:val="single" w:color="auto" w:sz="4" w:space="0"/>
              <w:left w:val="single" w:color="auto" w:sz="8" w:space="0"/>
              <w:bottom w:val="single" w:color="auto" w:sz="4"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第二十条第（六）项</w:t>
            </w:r>
          </w:p>
        </w:tc>
      </w:tr>
      <w:tr>
        <w:tblPrEx>
          <w:tblCellMar>
            <w:top w:w="0" w:type="dxa"/>
            <w:left w:w="0" w:type="dxa"/>
            <w:bottom w:w="0" w:type="dxa"/>
            <w:right w:w="0" w:type="dxa"/>
          </w:tblCellMar>
        </w:tblPrEx>
        <w:trPr>
          <w:trHeight w:val="567" w:hRule="exact"/>
          <w:jc w:val="center"/>
        </w:trPr>
        <w:tc>
          <w:tcPr>
            <w:tcW w:w="2435" w:type="dxa"/>
            <w:tcBorders>
              <w:top w:val="single" w:color="auto" w:sz="4" w:space="0"/>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信息内容</w:t>
            </w:r>
          </w:p>
        </w:tc>
        <w:tc>
          <w:tcPr>
            <w:tcW w:w="7305" w:type="dxa"/>
            <w:gridSpan w:val="3"/>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本年处理决定数量</w:t>
            </w:r>
          </w:p>
        </w:tc>
      </w:tr>
      <w:tr>
        <w:tblPrEx>
          <w:tblCellMar>
            <w:top w:w="0" w:type="dxa"/>
            <w:left w:w="0" w:type="dxa"/>
            <w:bottom w:w="0" w:type="dxa"/>
            <w:right w:w="0" w:type="dxa"/>
          </w:tblCellMar>
        </w:tblPrEx>
        <w:trPr>
          <w:trHeight w:val="567" w:hRule="exac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left"/>
              <w:textAlignment w:val="auto"/>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color w:val="auto"/>
                <w:kern w:val="0"/>
                <w:sz w:val="20"/>
                <w:szCs w:val="20"/>
                <w:lang w:val="en-US" w:eastAsia="zh-CN"/>
              </w:rPr>
            </w:pPr>
            <w:r>
              <w:rPr>
                <w:rFonts w:hint="default" w:ascii="Times New Roman" w:hAnsi="Times New Roman" w:eastAsia="宋体" w:cs="Times New Roman"/>
                <w:color w:val="auto"/>
                <w:kern w:val="0"/>
                <w:sz w:val="20"/>
                <w:szCs w:val="20"/>
                <w:lang w:val="en-US" w:eastAsia="zh-CN"/>
              </w:rPr>
              <w:t>0</w:t>
            </w:r>
          </w:p>
        </w:tc>
      </w:tr>
      <w:tr>
        <w:tblPrEx>
          <w:tblCellMar>
            <w:top w:w="0" w:type="dxa"/>
            <w:left w:w="0" w:type="dxa"/>
            <w:bottom w:w="0" w:type="dxa"/>
            <w:right w:w="0" w:type="dxa"/>
          </w:tblCellMar>
        </w:tblPrEx>
        <w:trPr>
          <w:trHeight w:val="567" w:hRule="exact"/>
          <w:jc w:val="center"/>
        </w:trPr>
        <w:tc>
          <w:tcPr>
            <w:tcW w:w="2435" w:type="dxa"/>
            <w:tcBorders>
              <w:top w:val="nil"/>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left"/>
              <w:textAlignment w:val="auto"/>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行政强制</w:t>
            </w:r>
          </w:p>
        </w:tc>
        <w:tc>
          <w:tcPr>
            <w:tcW w:w="7305" w:type="dxa"/>
            <w:gridSpan w:val="3"/>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lang w:val="en-US" w:eastAsia="zh-CN"/>
              </w:rPr>
              <w:t>0</w:t>
            </w:r>
            <w:r>
              <w:rPr>
                <w:rFonts w:hint="default" w:ascii="Times New Roman" w:hAnsi="Times New Roman" w:eastAsia="宋体" w:cs="Times New Roman"/>
                <w:color w:val="auto"/>
                <w:kern w:val="0"/>
                <w:sz w:val="20"/>
                <w:szCs w:val="20"/>
              </w:rPr>
              <w:t>　</w:t>
            </w:r>
          </w:p>
        </w:tc>
      </w:tr>
      <w:tr>
        <w:trPr>
          <w:trHeight w:val="567" w:hRule="exact"/>
          <w:jc w:val="center"/>
        </w:trPr>
        <w:tc>
          <w:tcPr>
            <w:tcW w:w="9740" w:type="dxa"/>
            <w:gridSpan w:val="4"/>
            <w:tcBorders>
              <w:top w:val="single" w:color="auto" w:sz="4" w:space="0"/>
              <w:left w:val="single" w:color="auto" w:sz="8" w:space="0"/>
              <w:bottom w:val="single" w:color="auto" w:sz="4"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第二十条第（八）项</w:t>
            </w:r>
          </w:p>
        </w:tc>
      </w:tr>
      <w:tr>
        <w:tblPrEx>
          <w:tblCellMar>
            <w:top w:w="0" w:type="dxa"/>
            <w:left w:w="0" w:type="dxa"/>
            <w:bottom w:w="0" w:type="dxa"/>
            <w:right w:w="0" w:type="dxa"/>
          </w:tblCellMar>
        </w:tblPrEx>
        <w:trPr>
          <w:trHeight w:val="567" w:hRule="exact"/>
          <w:jc w:val="center"/>
        </w:trPr>
        <w:tc>
          <w:tcPr>
            <w:tcW w:w="2435" w:type="dxa"/>
            <w:tcBorders>
              <w:top w:val="single" w:color="auto" w:sz="4" w:space="0"/>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信息内容</w:t>
            </w:r>
          </w:p>
        </w:tc>
        <w:tc>
          <w:tcPr>
            <w:tcW w:w="7305" w:type="dxa"/>
            <w:gridSpan w:val="3"/>
            <w:tcBorders>
              <w:top w:val="single" w:color="auto" w:sz="4" w:space="0"/>
              <w:left w:val="nil"/>
              <w:bottom w:val="single" w:color="auto" w:sz="4" w:space="0"/>
              <w:right w:val="single" w:color="000000"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本年收费金额（单位：万元）</w:t>
            </w:r>
          </w:p>
        </w:tc>
      </w:tr>
      <w:tr>
        <w:tblPrEx>
          <w:tblCellMar>
            <w:top w:w="0" w:type="dxa"/>
            <w:left w:w="0" w:type="dxa"/>
            <w:bottom w:w="0" w:type="dxa"/>
            <w:right w:w="0" w:type="dxa"/>
          </w:tblCellMar>
        </w:tblPrEx>
        <w:trPr>
          <w:trHeight w:val="567" w:hRule="exact"/>
          <w:jc w:val="center"/>
        </w:trPr>
        <w:tc>
          <w:tcPr>
            <w:tcW w:w="2435" w:type="dxa"/>
            <w:tcBorders>
              <w:top w:val="single" w:color="auto" w:sz="4" w:space="0"/>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行政事业性收费</w:t>
            </w:r>
          </w:p>
        </w:tc>
        <w:tc>
          <w:tcPr>
            <w:tcW w:w="7305" w:type="dxa"/>
            <w:gridSpan w:val="3"/>
            <w:tcBorders>
              <w:top w:val="single" w:color="auto" w:sz="4" w:space="0"/>
              <w:left w:val="nil"/>
              <w:bottom w:val="single" w:color="auto" w:sz="8" w:space="0"/>
              <w:right w:val="single" w:color="000000"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w:t>
            </w:r>
          </w:p>
        </w:tc>
      </w:tr>
    </w:tbl>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420"/>
        <w:jc w:val="both"/>
        <w:textAlignment w:val="auto"/>
        <w:rPr>
          <w:rFonts w:ascii="宋体" w:hAnsi="宋体" w:eastAsia="宋体" w:cs="宋体"/>
          <w:color w:val="auto"/>
          <w:kern w:val="0"/>
          <w:sz w:val="24"/>
          <w:szCs w:val="24"/>
          <w:lang w:val="en-US" w:eastAsia="zh-CN" w:bidi="ar-SA"/>
        </w:rPr>
      </w:pPr>
      <w:r>
        <w:rPr>
          <w:rFonts w:hint="eastAsia" w:ascii="方正黑体_GBK" w:hAnsi="方正黑体_GBK" w:eastAsia="方正黑体_GBK" w:cs="方正黑体_GBK"/>
          <w:b w:val="0"/>
          <w:bCs/>
          <w:color w:val="auto"/>
          <w:kern w:val="0"/>
          <w:sz w:val="32"/>
          <w:szCs w:val="32"/>
          <w:shd w:val="clear" w:color="auto" w:fill="FFFFFF"/>
          <w:lang w:val="en-US" w:eastAsia="zh-CN" w:bidi="ar-SA"/>
        </w:rPr>
        <w:t>三、收到和处理政府信息公开申请情况</w:t>
      </w:r>
    </w:p>
    <w:tbl>
      <w:tblPr>
        <w:tblStyle w:val="3"/>
        <w:tblW w:w="97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9"/>
        <w:gridCol w:w="946"/>
        <w:gridCol w:w="3231"/>
        <w:gridCol w:w="690"/>
        <w:gridCol w:w="690"/>
        <w:gridCol w:w="690"/>
        <w:gridCol w:w="690"/>
        <w:gridCol w:w="690"/>
        <w:gridCol w:w="692"/>
        <w:gridCol w:w="6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4946"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kern w:val="0"/>
                <w:sz w:val="20"/>
                <w:szCs w:val="20"/>
              </w:rPr>
              <w:t>（本列数据的勾稽关系为：第一项加第二项之和，等于第三项加第四项之和）</w:t>
            </w:r>
          </w:p>
        </w:tc>
        <w:tc>
          <w:tcPr>
            <w:tcW w:w="4833" w:type="dxa"/>
            <w:gridSpan w:val="7"/>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4946"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atLeast"/>
              <w:textAlignment w:val="auto"/>
              <w:rPr>
                <w:rFonts w:hint="default" w:ascii="Times New Roman" w:hAnsi="Times New Roman" w:eastAsia="仿宋_GB2312" w:cs="Times New Roman"/>
                <w:color w:val="auto"/>
                <w:sz w:val="24"/>
                <w:szCs w:val="24"/>
              </w:rPr>
            </w:pPr>
          </w:p>
        </w:tc>
        <w:tc>
          <w:tcPr>
            <w:tcW w:w="690" w:type="dxa"/>
            <w:vMerge w:val="restart"/>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自然人</w:t>
            </w:r>
          </w:p>
        </w:tc>
        <w:tc>
          <w:tcPr>
            <w:tcW w:w="3452" w:type="dxa"/>
            <w:gridSpan w:val="5"/>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法人或其他组织</w:t>
            </w:r>
          </w:p>
        </w:tc>
        <w:tc>
          <w:tcPr>
            <w:tcW w:w="691" w:type="dxa"/>
            <w:vMerge w:val="restart"/>
            <w:tcBorders>
              <w:top w:val="single" w:color="auto" w:sz="8" w:space="0"/>
              <w:left w:val="nil"/>
              <w:bottom w:val="outset"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4946"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atLeast"/>
              <w:textAlignment w:val="auto"/>
              <w:rPr>
                <w:rFonts w:hint="default" w:ascii="Times New Roman" w:hAnsi="Times New Roman" w:eastAsia="仿宋_GB2312" w:cs="Times New Roman"/>
                <w:color w:val="auto"/>
                <w:sz w:val="24"/>
                <w:szCs w:val="24"/>
              </w:rPr>
            </w:pPr>
          </w:p>
        </w:tc>
        <w:tc>
          <w:tcPr>
            <w:tcW w:w="690" w:type="dxa"/>
            <w:vMerge w:val="continue"/>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00" w:lineRule="atLeast"/>
              <w:textAlignment w:val="auto"/>
              <w:rPr>
                <w:rFonts w:hint="default" w:ascii="Times New Roman" w:hAnsi="Times New Roman" w:eastAsia="仿宋_GB2312" w:cs="Times New Roman"/>
                <w:color w:val="auto"/>
                <w:sz w:val="24"/>
                <w:szCs w:val="24"/>
              </w:rPr>
            </w:pPr>
          </w:p>
        </w:tc>
        <w:tc>
          <w:tcPr>
            <w:tcW w:w="69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商业</w:t>
            </w:r>
          </w:p>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企业</w:t>
            </w:r>
          </w:p>
        </w:tc>
        <w:tc>
          <w:tcPr>
            <w:tcW w:w="69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科研</w:t>
            </w:r>
          </w:p>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机构</w:t>
            </w:r>
          </w:p>
        </w:tc>
        <w:tc>
          <w:tcPr>
            <w:tcW w:w="690"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社会公益组织</w:t>
            </w:r>
          </w:p>
        </w:tc>
        <w:tc>
          <w:tcPr>
            <w:tcW w:w="690"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法律服务机构</w:t>
            </w:r>
          </w:p>
        </w:tc>
        <w:tc>
          <w:tcPr>
            <w:tcW w:w="692"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其他</w:t>
            </w:r>
          </w:p>
        </w:tc>
        <w:tc>
          <w:tcPr>
            <w:tcW w:w="691" w:type="dxa"/>
            <w:vMerge w:val="continue"/>
            <w:tcBorders>
              <w:top w:val="single" w:color="auto" w:sz="8" w:space="0"/>
              <w:left w:val="nil"/>
              <w:bottom w:val="outset"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00" w:lineRule="atLeast"/>
              <w:textAlignment w:val="auto"/>
              <w:rPr>
                <w:rFonts w:hint="default" w:ascii="Times New Roman" w:hAnsi="Times New Roman" w:eastAsia="仿宋_GB2312"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4946" w:type="dxa"/>
            <w:gridSpan w:val="3"/>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一、本年新收政府信息公开申请数量</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20"/>
                <w:szCs w:val="20"/>
              </w:rPr>
              <w:t> </w:t>
            </w:r>
            <w:r>
              <w:rPr>
                <w:rFonts w:hint="eastAsia" w:ascii="Times New Roman" w:hAnsi="Times New Roman" w:eastAsia="仿宋_GB2312" w:cs="Times New Roman"/>
                <w:color w:val="auto"/>
                <w:kern w:val="0"/>
                <w:sz w:val="20"/>
                <w:szCs w:val="20"/>
                <w:lang w:val="en-US" w:eastAsia="zh-CN"/>
              </w:rPr>
              <w:t>6</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kern w:val="0"/>
                <w:sz w:val="20"/>
                <w:szCs w:val="20"/>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kern w:val="0"/>
                <w:sz w:val="20"/>
                <w:szCs w:val="20"/>
                <w:lang w:val="en-US" w:eastAsia="zh-CN"/>
              </w:rPr>
              <w:t>0</w:t>
            </w:r>
          </w:p>
        </w:tc>
        <w:tc>
          <w:tcPr>
            <w:tcW w:w="691"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20"/>
                <w:szCs w:val="20"/>
              </w:rPr>
              <w:t> </w:t>
            </w:r>
            <w:r>
              <w:rPr>
                <w:rFonts w:hint="default" w:ascii="Times New Roman" w:hAnsi="Times New Roman" w:eastAsia="仿宋_GB2312" w:cs="Times New Roman"/>
                <w:color w:val="auto"/>
                <w:kern w:val="0"/>
                <w:sz w:val="20"/>
                <w:szCs w:val="20"/>
                <w:lang w:val="en-US" w:eastAsia="zh-CN"/>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4946" w:type="dxa"/>
            <w:gridSpan w:val="3"/>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二、上年结转政府信息公开申请数量</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r>
              <w:rPr>
                <w:rFonts w:hint="default" w:ascii="Times New Roman" w:hAnsi="Times New Roman" w:eastAsia="仿宋_GB2312" w:cs="Times New Roman"/>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769" w:type="dxa"/>
            <w:vMerge w:val="restart"/>
            <w:tcBorders>
              <w:top w:val="nil"/>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三、本年度办理结果</w:t>
            </w:r>
          </w:p>
        </w:tc>
        <w:tc>
          <w:tcPr>
            <w:tcW w:w="4177" w:type="dxa"/>
            <w:gridSpan w:val="2"/>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（一）予以公开</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20"/>
                <w:szCs w:val="20"/>
              </w:rPr>
              <w:t> </w:t>
            </w:r>
            <w:r>
              <w:rPr>
                <w:rFonts w:hint="eastAsia" w:ascii="Times New Roman" w:hAnsi="Times New Roman" w:eastAsia="仿宋_GB2312" w:cs="Times New Roman"/>
                <w:color w:val="auto"/>
                <w:kern w:val="0"/>
                <w:sz w:val="20"/>
                <w:szCs w:val="20"/>
                <w:lang w:val="en-US" w:eastAsia="zh-CN"/>
              </w:rPr>
              <w:t>2</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single" w:color="auto" w:sz="8" w:space="0"/>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2</w:t>
            </w:r>
            <w:r>
              <w:rPr>
                <w:rFonts w:hint="default" w:ascii="Times New Roman" w:hAnsi="Times New Roman" w:eastAsia="仿宋_GB2312" w:cs="Times New Roman"/>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769" w:type="dxa"/>
            <w:vMerge w:val="continue"/>
            <w:tcBorders>
              <w:top w:val="single" w:color="auto" w:sz="4" w:space="0"/>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00" w:lineRule="atLeast"/>
              <w:textAlignment w:val="auto"/>
              <w:rPr>
                <w:rFonts w:hint="default" w:ascii="Times New Roman" w:hAnsi="Times New Roman" w:eastAsia="仿宋_GB2312" w:cs="Times New Roman"/>
                <w:color w:val="auto"/>
                <w:sz w:val="24"/>
                <w:szCs w:val="24"/>
              </w:rPr>
            </w:pPr>
          </w:p>
        </w:tc>
        <w:tc>
          <w:tcPr>
            <w:tcW w:w="4177" w:type="dxa"/>
            <w:gridSpan w:val="2"/>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（二）部分公开</w:t>
            </w:r>
            <w:r>
              <w:rPr>
                <w:rFonts w:hint="default" w:ascii="Times New Roman" w:hAnsi="Times New Roman" w:eastAsia="楷体" w:cs="Times New Roman"/>
                <w:color w:val="auto"/>
                <w:kern w:val="0"/>
                <w:sz w:val="20"/>
                <w:szCs w:val="20"/>
              </w:rPr>
              <w:t>（区分处理的，只计这一情形，不计其他情形）</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20"/>
                <w:szCs w:val="20"/>
              </w:rPr>
              <w:t> </w:t>
            </w:r>
            <w:r>
              <w:rPr>
                <w:rFonts w:hint="eastAsia" w:ascii="Times New Roman" w:hAnsi="Times New Roman" w:eastAsia="仿宋_GB2312" w:cs="Times New Roman"/>
                <w:color w:val="auto"/>
                <w:kern w:val="0"/>
                <w:sz w:val="20"/>
                <w:szCs w:val="20"/>
                <w:lang w:val="en-US" w:eastAsia="zh-CN"/>
              </w:rPr>
              <w:t>1</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1</w:t>
            </w:r>
            <w:r>
              <w:rPr>
                <w:rFonts w:hint="default" w:ascii="Times New Roman" w:hAnsi="Times New Roman" w:eastAsia="仿宋_GB2312" w:cs="Times New Roman"/>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769" w:type="dxa"/>
            <w:vMerge w:val="continue"/>
            <w:tcBorders>
              <w:top w:val="single" w:color="auto" w:sz="4" w:space="0"/>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00" w:lineRule="atLeast"/>
              <w:textAlignment w:val="auto"/>
              <w:rPr>
                <w:rFonts w:hint="default" w:ascii="Times New Roman" w:hAnsi="Times New Roman" w:eastAsia="仿宋_GB2312" w:cs="Times New Roman"/>
                <w:color w:val="auto"/>
                <w:sz w:val="24"/>
                <w:szCs w:val="24"/>
              </w:rPr>
            </w:pPr>
          </w:p>
        </w:tc>
        <w:tc>
          <w:tcPr>
            <w:tcW w:w="946" w:type="dxa"/>
            <w:vMerge w:val="restart"/>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（三）不予公开</w:t>
            </w:r>
          </w:p>
        </w:tc>
        <w:tc>
          <w:tcPr>
            <w:tcW w:w="3231"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1.属于国家秘密</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single" w:color="auto" w:sz="8" w:space="0"/>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769" w:type="dxa"/>
            <w:vMerge w:val="continue"/>
            <w:tcBorders>
              <w:top w:val="single" w:color="auto" w:sz="4" w:space="0"/>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00" w:lineRule="atLeast"/>
              <w:textAlignment w:val="auto"/>
              <w:rPr>
                <w:rFonts w:hint="default" w:ascii="Times New Roman" w:hAnsi="Times New Roman" w:eastAsia="仿宋_GB2312" w:cs="Times New Roman"/>
                <w:color w:val="auto"/>
                <w:sz w:val="24"/>
                <w:szCs w:val="24"/>
              </w:rPr>
            </w:pPr>
          </w:p>
        </w:tc>
        <w:tc>
          <w:tcPr>
            <w:tcW w:w="946"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00" w:lineRule="atLeast"/>
              <w:textAlignment w:val="auto"/>
              <w:rPr>
                <w:rFonts w:hint="default" w:ascii="Times New Roman" w:hAnsi="Times New Roman" w:eastAsia="仿宋_GB2312" w:cs="Times New Roman"/>
                <w:color w:val="auto"/>
                <w:sz w:val="24"/>
                <w:szCs w:val="24"/>
              </w:rPr>
            </w:pPr>
          </w:p>
        </w:tc>
        <w:tc>
          <w:tcPr>
            <w:tcW w:w="3231"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2.其他法律行政法规禁止公开</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769" w:type="dxa"/>
            <w:vMerge w:val="continue"/>
            <w:tcBorders>
              <w:top w:val="single" w:color="auto" w:sz="4" w:space="0"/>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00" w:lineRule="atLeast"/>
              <w:textAlignment w:val="auto"/>
              <w:rPr>
                <w:rFonts w:hint="default" w:ascii="Times New Roman" w:hAnsi="Times New Roman" w:eastAsia="仿宋_GB2312" w:cs="Times New Roman"/>
                <w:color w:val="auto"/>
                <w:sz w:val="24"/>
                <w:szCs w:val="24"/>
              </w:rPr>
            </w:pPr>
          </w:p>
        </w:tc>
        <w:tc>
          <w:tcPr>
            <w:tcW w:w="946" w:type="dxa"/>
            <w:vMerge w:val="continue"/>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00" w:lineRule="atLeast"/>
              <w:textAlignment w:val="auto"/>
              <w:rPr>
                <w:rFonts w:hint="default" w:ascii="Times New Roman" w:hAnsi="Times New Roman" w:eastAsia="仿宋_GB2312" w:cs="Times New Roman"/>
                <w:color w:val="auto"/>
                <w:sz w:val="24"/>
                <w:szCs w:val="24"/>
              </w:rPr>
            </w:pPr>
          </w:p>
        </w:tc>
        <w:tc>
          <w:tcPr>
            <w:tcW w:w="3231" w:type="dxa"/>
            <w:tcBorders>
              <w:top w:val="nil"/>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3.危及“三安全一稳定”</w:t>
            </w:r>
          </w:p>
        </w:tc>
        <w:tc>
          <w:tcPr>
            <w:tcW w:w="690" w:type="dxa"/>
            <w:tcBorders>
              <w:top w:val="nil"/>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nil"/>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nil"/>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769" w:type="dxa"/>
            <w:vMerge w:val="continue"/>
            <w:tcBorders>
              <w:top w:val="single" w:color="auto" w:sz="4" w:space="0"/>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00" w:lineRule="atLeast"/>
              <w:textAlignment w:val="auto"/>
              <w:rPr>
                <w:rFonts w:hint="default" w:ascii="Times New Roman" w:hAnsi="Times New Roman" w:eastAsia="仿宋_GB2312" w:cs="Times New Roman"/>
                <w:color w:val="auto"/>
                <w:sz w:val="24"/>
                <w:szCs w:val="24"/>
              </w:rPr>
            </w:pPr>
          </w:p>
        </w:tc>
        <w:tc>
          <w:tcPr>
            <w:tcW w:w="946" w:type="dxa"/>
            <w:vMerge w:val="continue"/>
            <w:tcBorders>
              <w:top w:val="single" w:color="auto" w:sz="4" w:space="0"/>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00" w:lineRule="atLeast"/>
              <w:textAlignment w:val="auto"/>
              <w:rPr>
                <w:rFonts w:hint="default" w:ascii="Times New Roman" w:hAnsi="Times New Roman" w:eastAsia="仿宋_GB2312" w:cs="Times New Roman"/>
                <w:color w:val="auto"/>
                <w:sz w:val="24"/>
                <w:szCs w:val="24"/>
              </w:rPr>
            </w:pPr>
          </w:p>
        </w:tc>
        <w:tc>
          <w:tcPr>
            <w:tcW w:w="3231" w:type="dxa"/>
            <w:tcBorders>
              <w:top w:val="single" w:color="auto" w:sz="4" w:space="0"/>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4.保护第三方合法权益</w:t>
            </w:r>
          </w:p>
        </w:tc>
        <w:tc>
          <w:tcPr>
            <w:tcW w:w="690" w:type="dxa"/>
            <w:tcBorders>
              <w:top w:val="single" w:color="auto" w:sz="4" w:space="0"/>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single" w:color="auto" w:sz="4" w:space="0"/>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single" w:color="auto" w:sz="4" w:space="0"/>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single" w:color="auto" w:sz="4" w:space="0"/>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single" w:color="auto" w:sz="4" w:space="0"/>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single" w:color="auto" w:sz="4" w:space="0"/>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single" w:color="auto" w:sz="4" w:space="0"/>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769" w:type="dxa"/>
            <w:vMerge w:val="continue"/>
            <w:tcBorders>
              <w:top w:val="single" w:color="auto" w:sz="4" w:space="0"/>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00" w:lineRule="atLeast"/>
              <w:textAlignment w:val="auto"/>
              <w:rPr>
                <w:rFonts w:hint="default" w:ascii="Times New Roman" w:hAnsi="Times New Roman" w:eastAsia="仿宋_GB2312" w:cs="Times New Roman"/>
                <w:color w:val="auto"/>
                <w:sz w:val="24"/>
                <w:szCs w:val="24"/>
              </w:rPr>
            </w:pPr>
          </w:p>
        </w:tc>
        <w:tc>
          <w:tcPr>
            <w:tcW w:w="946"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00" w:lineRule="atLeast"/>
              <w:textAlignment w:val="auto"/>
              <w:rPr>
                <w:rFonts w:hint="default" w:ascii="Times New Roman" w:hAnsi="Times New Roman" w:eastAsia="仿宋_GB2312" w:cs="Times New Roman"/>
                <w:color w:val="auto"/>
                <w:sz w:val="24"/>
                <w:szCs w:val="24"/>
              </w:rPr>
            </w:pPr>
          </w:p>
        </w:tc>
        <w:tc>
          <w:tcPr>
            <w:tcW w:w="3231"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5.属于三类内部事务信息</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769" w:type="dxa"/>
            <w:vMerge w:val="continue"/>
            <w:tcBorders>
              <w:top w:val="single" w:color="auto" w:sz="4" w:space="0"/>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00" w:lineRule="atLeast"/>
              <w:textAlignment w:val="auto"/>
              <w:rPr>
                <w:rFonts w:hint="default" w:ascii="Times New Roman" w:hAnsi="Times New Roman" w:eastAsia="仿宋_GB2312" w:cs="Times New Roman"/>
                <w:color w:val="auto"/>
                <w:sz w:val="24"/>
                <w:szCs w:val="24"/>
              </w:rPr>
            </w:pPr>
          </w:p>
        </w:tc>
        <w:tc>
          <w:tcPr>
            <w:tcW w:w="946"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00" w:lineRule="atLeast"/>
              <w:textAlignment w:val="auto"/>
              <w:rPr>
                <w:rFonts w:hint="default" w:ascii="Times New Roman" w:hAnsi="Times New Roman" w:eastAsia="仿宋_GB2312" w:cs="Times New Roman"/>
                <w:color w:val="auto"/>
                <w:sz w:val="24"/>
                <w:szCs w:val="24"/>
              </w:rPr>
            </w:pPr>
          </w:p>
        </w:tc>
        <w:tc>
          <w:tcPr>
            <w:tcW w:w="3231"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6.属于四类过程性信息</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769" w:type="dxa"/>
            <w:vMerge w:val="continue"/>
            <w:tcBorders>
              <w:top w:val="single" w:color="auto" w:sz="4" w:space="0"/>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00" w:lineRule="atLeast"/>
              <w:textAlignment w:val="auto"/>
              <w:rPr>
                <w:rFonts w:hint="default" w:ascii="Times New Roman" w:hAnsi="Times New Roman" w:eastAsia="仿宋_GB2312" w:cs="Times New Roman"/>
                <w:color w:val="auto"/>
                <w:sz w:val="24"/>
                <w:szCs w:val="24"/>
              </w:rPr>
            </w:pPr>
          </w:p>
        </w:tc>
        <w:tc>
          <w:tcPr>
            <w:tcW w:w="946"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00" w:lineRule="atLeast"/>
              <w:textAlignment w:val="auto"/>
              <w:rPr>
                <w:rFonts w:hint="default" w:ascii="Times New Roman" w:hAnsi="Times New Roman" w:eastAsia="仿宋_GB2312" w:cs="Times New Roman"/>
                <w:color w:val="auto"/>
                <w:sz w:val="24"/>
                <w:szCs w:val="24"/>
              </w:rPr>
            </w:pPr>
          </w:p>
        </w:tc>
        <w:tc>
          <w:tcPr>
            <w:tcW w:w="3231"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7.属于行政执法案卷</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769" w:type="dxa"/>
            <w:vMerge w:val="continue"/>
            <w:tcBorders>
              <w:top w:val="single" w:color="auto" w:sz="4" w:space="0"/>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00" w:lineRule="atLeast"/>
              <w:textAlignment w:val="auto"/>
              <w:rPr>
                <w:rFonts w:hint="default" w:ascii="Times New Roman" w:hAnsi="Times New Roman" w:eastAsia="仿宋_GB2312" w:cs="Times New Roman"/>
                <w:color w:val="auto"/>
                <w:sz w:val="24"/>
                <w:szCs w:val="24"/>
              </w:rPr>
            </w:pPr>
          </w:p>
        </w:tc>
        <w:tc>
          <w:tcPr>
            <w:tcW w:w="946" w:type="dxa"/>
            <w:vMerge w:val="continue"/>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00" w:lineRule="atLeast"/>
              <w:textAlignment w:val="auto"/>
              <w:rPr>
                <w:rFonts w:hint="default" w:ascii="Times New Roman" w:hAnsi="Times New Roman" w:eastAsia="仿宋_GB2312" w:cs="Times New Roman"/>
                <w:color w:val="auto"/>
                <w:sz w:val="24"/>
                <w:szCs w:val="24"/>
              </w:rPr>
            </w:pPr>
          </w:p>
        </w:tc>
        <w:tc>
          <w:tcPr>
            <w:tcW w:w="3231" w:type="dxa"/>
            <w:tcBorders>
              <w:top w:val="nil"/>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8.属于行政查询事项</w:t>
            </w:r>
          </w:p>
        </w:tc>
        <w:tc>
          <w:tcPr>
            <w:tcW w:w="690" w:type="dxa"/>
            <w:tcBorders>
              <w:top w:val="nil"/>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nil"/>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nil"/>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769" w:type="dxa"/>
            <w:vMerge w:val="continue"/>
            <w:tcBorders>
              <w:top w:val="single" w:color="auto" w:sz="4" w:space="0"/>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00" w:lineRule="atLeast"/>
              <w:textAlignment w:val="auto"/>
              <w:rPr>
                <w:rFonts w:hint="default" w:ascii="Times New Roman" w:hAnsi="Times New Roman" w:eastAsia="仿宋_GB2312" w:cs="Times New Roman"/>
                <w:color w:val="auto"/>
                <w:sz w:val="24"/>
                <w:szCs w:val="24"/>
              </w:rPr>
            </w:pPr>
          </w:p>
        </w:tc>
        <w:tc>
          <w:tcPr>
            <w:tcW w:w="946" w:type="dxa"/>
            <w:vMerge w:val="restart"/>
            <w:tcBorders>
              <w:top w:val="single" w:color="auto" w:sz="4" w:space="0"/>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（四）无法提供</w:t>
            </w:r>
          </w:p>
        </w:tc>
        <w:tc>
          <w:tcPr>
            <w:tcW w:w="3231" w:type="dxa"/>
            <w:tcBorders>
              <w:top w:val="single" w:color="auto" w:sz="4" w:space="0"/>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1.本机关不掌握相关政府信息</w:t>
            </w:r>
          </w:p>
        </w:tc>
        <w:tc>
          <w:tcPr>
            <w:tcW w:w="690" w:type="dxa"/>
            <w:tcBorders>
              <w:top w:val="single" w:color="auto" w:sz="4" w:space="0"/>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20"/>
                <w:szCs w:val="20"/>
              </w:rPr>
              <w:t> </w:t>
            </w:r>
            <w:r>
              <w:rPr>
                <w:rFonts w:hint="eastAsia" w:ascii="Times New Roman" w:hAnsi="Times New Roman" w:eastAsia="仿宋_GB2312" w:cs="Times New Roman"/>
                <w:color w:val="auto"/>
                <w:kern w:val="0"/>
                <w:sz w:val="20"/>
                <w:szCs w:val="20"/>
                <w:lang w:val="en-US" w:eastAsia="zh-CN"/>
              </w:rPr>
              <w:t>3</w:t>
            </w:r>
          </w:p>
        </w:tc>
        <w:tc>
          <w:tcPr>
            <w:tcW w:w="690" w:type="dxa"/>
            <w:tcBorders>
              <w:top w:val="single" w:color="auto" w:sz="4" w:space="0"/>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single" w:color="auto" w:sz="4" w:space="0"/>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single" w:color="auto" w:sz="4" w:space="0"/>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single" w:color="auto" w:sz="4" w:space="0"/>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single" w:color="auto" w:sz="4" w:space="0"/>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single" w:color="auto" w:sz="4" w:space="0"/>
              <w:left w:val="nil"/>
              <w:bottom w:val="single" w:color="auto" w:sz="4"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400" w:lineRule="atLeast"/>
              <w:jc w:val="center"/>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20"/>
                <w:szCs w:val="20"/>
              </w:rPr>
              <w:t> </w:t>
            </w:r>
            <w:r>
              <w:rPr>
                <w:rFonts w:hint="eastAsia" w:ascii="Times New Roman" w:hAnsi="Times New Roman" w:eastAsia="仿宋_GB2312" w:cs="Times New Roman"/>
                <w:color w:val="auto"/>
                <w:kern w:val="0"/>
                <w:sz w:val="20"/>
                <w:szCs w:val="20"/>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769" w:type="dxa"/>
            <w:vMerge w:val="continue"/>
            <w:tcBorders>
              <w:top w:val="single" w:color="auto" w:sz="4" w:space="0"/>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z w:val="24"/>
                <w:szCs w:val="24"/>
              </w:rPr>
            </w:pPr>
          </w:p>
        </w:tc>
        <w:tc>
          <w:tcPr>
            <w:tcW w:w="946" w:type="dxa"/>
            <w:vMerge w:val="continue"/>
            <w:tcBorders>
              <w:top w:val="single" w:color="auto" w:sz="4" w:space="0"/>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z w:val="24"/>
                <w:szCs w:val="24"/>
              </w:rPr>
            </w:pPr>
          </w:p>
        </w:tc>
        <w:tc>
          <w:tcPr>
            <w:tcW w:w="3231"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2.没有现成信息需要另行制作</w:t>
            </w:r>
          </w:p>
        </w:tc>
        <w:tc>
          <w:tcPr>
            <w:tcW w:w="690"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769" w:type="dxa"/>
            <w:vMerge w:val="continue"/>
            <w:tcBorders>
              <w:top w:val="single" w:color="auto" w:sz="4" w:space="0"/>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z w:val="24"/>
                <w:szCs w:val="24"/>
              </w:rPr>
            </w:pPr>
          </w:p>
        </w:tc>
        <w:tc>
          <w:tcPr>
            <w:tcW w:w="946"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z w:val="24"/>
                <w:szCs w:val="24"/>
              </w:rPr>
            </w:pPr>
          </w:p>
        </w:tc>
        <w:tc>
          <w:tcPr>
            <w:tcW w:w="323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3.补正后申请内容仍不明确</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769" w:type="dxa"/>
            <w:vMerge w:val="continue"/>
            <w:tcBorders>
              <w:top w:val="single" w:color="auto" w:sz="4" w:space="0"/>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z w:val="24"/>
                <w:szCs w:val="24"/>
              </w:rPr>
            </w:pPr>
          </w:p>
        </w:tc>
        <w:tc>
          <w:tcPr>
            <w:tcW w:w="946" w:type="dxa"/>
            <w:vMerge w:val="restart"/>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（五）不予处理</w:t>
            </w:r>
          </w:p>
        </w:tc>
        <w:tc>
          <w:tcPr>
            <w:tcW w:w="323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1.信访举报投诉类申请</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769" w:type="dxa"/>
            <w:vMerge w:val="continue"/>
            <w:tcBorders>
              <w:top w:val="single" w:color="auto" w:sz="4" w:space="0"/>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z w:val="24"/>
                <w:szCs w:val="24"/>
              </w:rPr>
            </w:pPr>
          </w:p>
        </w:tc>
        <w:tc>
          <w:tcPr>
            <w:tcW w:w="946"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z w:val="24"/>
                <w:szCs w:val="24"/>
              </w:rPr>
            </w:pPr>
          </w:p>
        </w:tc>
        <w:tc>
          <w:tcPr>
            <w:tcW w:w="323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2.重复申请</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769" w:type="dxa"/>
            <w:vMerge w:val="continue"/>
            <w:tcBorders>
              <w:top w:val="single" w:color="auto" w:sz="4" w:space="0"/>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z w:val="24"/>
                <w:szCs w:val="24"/>
              </w:rPr>
            </w:pPr>
          </w:p>
        </w:tc>
        <w:tc>
          <w:tcPr>
            <w:tcW w:w="946" w:type="dxa"/>
            <w:vMerge w:val="continue"/>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z w:val="24"/>
                <w:szCs w:val="24"/>
              </w:rPr>
            </w:pPr>
          </w:p>
        </w:tc>
        <w:tc>
          <w:tcPr>
            <w:tcW w:w="3231" w:type="dxa"/>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3.要求提供公开出版物</w:t>
            </w:r>
          </w:p>
        </w:tc>
        <w:tc>
          <w:tcPr>
            <w:tcW w:w="690" w:type="dxa"/>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769" w:type="dxa"/>
            <w:vMerge w:val="continue"/>
            <w:tcBorders>
              <w:top w:val="single" w:color="auto" w:sz="4" w:space="0"/>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z w:val="24"/>
                <w:szCs w:val="24"/>
              </w:rPr>
            </w:pPr>
          </w:p>
        </w:tc>
        <w:tc>
          <w:tcPr>
            <w:tcW w:w="946" w:type="dxa"/>
            <w:vMerge w:val="continue"/>
            <w:tcBorders>
              <w:top w:val="single" w:color="auto" w:sz="4" w:space="0"/>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z w:val="24"/>
                <w:szCs w:val="24"/>
              </w:rPr>
            </w:pPr>
          </w:p>
        </w:tc>
        <w:tc>
          <w:tcPr>
            <w:tcW w:w="3231"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4.无正当理由大量反复申请</w:t>
            </w:r>
          </w:p>
        </w:tc>
        <w:tc>
          <w:tcPr>
            <w:tcW w:w="690"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75" w:hRule="exact"/>
          <w:jc w:val="center"/>
        </w:trPr>
        <w:tc>
          <w:tcPr>
            <w:tcW w:w="769" w:type="dxa"/>
            <w:vMerge w:val="continue"/>
            <w:tcBorders>
              <w:top w:val="single" w:color="auto" w:sz="4" w:space="0"/>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z w:val="24"/>
                <w:szCs w:val="24"/>
              </w:rPr>
            </w:pPr>
          </w:p>
        </w:tc>
        <w:tc>
          <w:tcPr>
            <w:tcW w:w="946"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z w:val="24"/>
                <w:szCs w:val="24"/>
              </w:rPr>
            </w:pPr>
          </w:p>
        </w:tc>
        <w:tc>
          <w:tcPr>
            <w:tcW w:w="3231" w:type="dxa"/>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5.要求行政机关确认或重新出具已获取信息</w:t>
            </w:r>
          </w:p>
        </w:tc>
        <w:tc>
          <w:tcPr>
            <w:tcW w:w="690" w:type="dxa"/>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59" w:hRule="exact"/>
          <w:jc w:val="center"/>
        </w:trPr>
        <w:tc>
          <w:tcPr>
            <w:tcW w:w="769" w:type="dxa"/>
            <w:vMerge w:val="continue"/>
            <w:tcBorders>
              <w:top w:val="single" w:color="auto" w:sz="4" w:space="0"/>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z w:val="24"/>
                <w:szCs w:val="24"/>
              </w:rPr>
            </w:pPr>
          </w:p>
        </w:tc>
        <w:tc>
          <w:tcPr>
            <w:tcW w:w="946" w:type="dxa"/>
            <w:vMerge w:val="restart"/>
            <w:tcBorders>
              <w:top w:val="outset" w:color="auto" w:sz="8" w:space="0"/>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（六）其他处理</w:t>
            </w:r>
          </w:p>
        </w:tc>
        <w:tc>
          <w:tcPr>
            <w:tcW w:w="323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1.申请人无正当理由逾期不补正、行政机关不再处理其政府信息公开申请</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77" w:hRule="exact"/>
          <w:jc w:val="center"/>
        </w:trPr>
        <w:tc>
          <w:tcPr>
            <w:tcW w:w="769" w:type="dxa"/>
            <w:vMerge w:val="continue"/>
            <w:tcBorders>
              <w:top w:val="single" w:color="auto" w:sz="4" w:space="0"/>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z w:val="24"/>
                <w:szCs w:val="24"/>
              </w:rPr>
            </w:pPr>
          </w:p>
        </w:tc>
        <w:tc>
          <w:tcPr>
            <w:tcW w:w="946"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z w:val="24"/>
                <w:szCs w:val="24"/>
              </w:rPr>
            </w:pPr>
          </w:p>
        </w:tc>
        <w:tc>
          <w:tcPr>
            <w:tcW w:w="323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2.申请人逾期未按收费通知要求缴纳费用、行政机关不再处理其政府信息公开申请</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769" w:type="dxa"/>
            <w:vMerge w:val="continue"/>
            <w:tcBorders>
              <w:top w:val="single" w:color="auto" w:sz="4" w:space="0"/>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z w:val="24"/>
                <w:szCs w:val="24"/>
              </w:rPr>
            </w:pPr>
          </w:p>
        </w:tc>
        <w:tc>
          <w:tcPr>
            <w:tcW w:w="946"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z w:val="24"/>
                <w:szCs w:val="24"/>
              </w:rPr>
            </w:pPr>
          </w:p>
        </w:tc>
        <w:tc>
          <w:tcPr>
            <w:tcW w:w="323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3.其他</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bookmarkStart w:id="0" w:name="_GoBack"/>
            <w:bookmarkEnd w:id="0"/>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769" w:type="dxa"/>
            <w:vMerge w:val="continue"/>
            <w:tcBorders>
              <w:top w:val="single" w:color="auto" w:sz="4" w:space="0"/>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z w:val="24"/>
                <w:szCs w:val="24"/>
              </w:rPr>
            </w:pPr>
          </w:p>
        </w:tc>
        <w:tc>
          <w:tcPr>
            <w:tcW w:w="4177" w:type="dxa"/>
            <w:gridSpan w:val="2"/>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（七）总计</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20"/>
                <w:szCs w:val="20"/>
              </w:rPr>
              <w:t> </w:t>
            </w:r>
            <w:r>
              <w:rPr>
                <w:rFonts w:hint="eastAsia" w:ascii="Times New Roman" w:hAnsi="Times New Roman" w:eastAsia="仿宋_GB2312" w:cs="Times New Roman"/>
                <w:color w:val="auto"/>
                <w:kern w:val="0"/>
                <w:sz w:val="20"/>
                <w:szCs w:val="20"/>
                <w:lang w:val="en-US" w:eastAsia="zh-CN"/>
              </w:rPr>
              <w:t>6</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20"/>
                <w:szCs w:val="20"/>
              </w:rPr>
              <w:t> </w:t>
            </w:r>
            <w:r>
              <w:rPr>
                <w:rFonts w:hint="eastAsia" w:ascii="Times New Roman" w:hAnsi="Times New Roman" w:eastAsia="仿宋_GB2312" w:cs="Times New Roman"/>
                <w:color w:val="auto"/>
                <w:kern w:val="0"/>
                <w:sz w:val="20"/>
                <w:szCs w:val="20"/>
                <w:lang w:val="en-US" w:eastAsia="zh-CN"/>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exact"/>
          <w:jc w:val="center"/>
        </w:trPr>
        <w:tc>
          <w:tcPr>
            <w:tcW w:w="4946" w:type="dxa"/>
            <w:gridSpan w:val="3"/>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宋体" w:cs="Times New Roman"/>
                <w:color w:val="auto"/>
                <w:kern w:val="0"/>
                <w:sz w:val="20"/>
                <w:szCs w:val="20"/>
              </w:rPr>
              <w:t>四、结转下年度继续办理</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0"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kern w:val="0"/>
                <w:sz w:val="20"/>
                <w:szCs w:val="20"/>
                <w:lang w:val="en-US" w:eastAsia="zh-CN"/>
              </w:rPr>
              <w:t>0</w:t>
            </w:r>
          </w:p>
        </w:tc>
      </w:tr>
    </w:tbl>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420"/>
        <w:jc w:val="both"/>
        <w:textAlignment w:val="auto"/>
        <w:rPr>
          <w:rFonts w:ascii="宋体" w:hAnsi="宋体" w:eastAsia="宋体" w:cs="宋体"/>
          <w:color w:val="auto"/>
          <w:kern w:val="0"/>
          <w:sz w:val="24"/>
          <w:szCs w:val="24"/>
          <w:lang w:val="en-US" w:eastAsia="zh-CN" w:bidi="ar-SA"/>
        </w:rPr>
      </w:pPr>
      <w:r>
        <w:rPr>
          <w:rFonts w:hint="eastAsia" w:ascii="方正黑体_GBK" w:hAnsi="方正黑体_GBK" w:eastAsia="方正黑体_GBK" w:cs="方正黑体_GBK"/>
          <w:b w:val="0"/>
          <w:bCs/>
          <w:color w:val="auto"/>
          <w:kern w:val="0"/>
          <w:sz w:val="32"/>
          <w:szCs w:val="32"/>
          <w:shd w:val="clear" w:color="auto" w:fill="FFFFFF"/>
          <w:lang w:val="en-US" w:eastAsia="zh-CN" w:bidi="ar-SA"/>
        </w:rPr>
        <w:t>四、政府信息公开行政复议、行政诉讼情况</w:t>
      </w:r>
    </w:p>
    <w:tbl>
      <w:tblPr>
        <w:tblStyle w:val="3"/>
        <w:tblW w:w="98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54"/>
        <w:gridCol w:w="654"/>
        <w:gridCol w:w="654"/>
        <w:gridCol w:w="654"/>
        <w:gridCol w:w="666"/>
        <w:gridCol w:w="654"/>
        <w:gridCol w:w="654"/>
        <w:gridCol w:w="655"/>
        <w:gridCol w:w="655"/>
        <w:gridCol w:w="666"/>
        <w:gridCol w:w="655"/>
        <w:gridCol w:w="655"/>
        <w:gridCol w:w="655"/>
        <w:gridCol w:w="655"/>
        <w:gridCol w:w="67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3" w:hRule="exact"/>
          <w:jc w:val="center"/>
        </w:trPr>
        <w:tc>
          <w:tcPr>
            <w:tcW w:w="328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auto"/>
                <w:sz w:val="32"/>
                <w:szCs w:val="32"/>
              </w:rPr>
            </w:pPr>
            <w:r>
              <w:rPr>
                <w:rFonts w:hint="eastAsia" w:ascii="宋体" w:hAnsi="宋体" w:eastAsia="宋体" w:cs="宋体"/>
                <w:color w:val="auto"/>
                <w:kern w:val="0"/>
                <w:sz w:val="20"/>
                <w:szCs w:val="20"/>
              </w:rPr>
              <w:t>行政复议</w:t>
            </w:r>
          </w:p>
        </w:tc>
        <w:tc>
          <w:tcPr>
            <w:tcW w:w="6577"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auto"/>
                <w:sz w:val="32"/>
                <w:szCs w:val="32"/>
              </w:rPr>
            </w:pPr>
            <w:r>
              <w:rPr>
                <w:rFonts w:hint="eastAsia" w:ascii="宋体" w:hAnsi="宋体" w:eastAsia="宋体" w:cs="宋体"/>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1" w:hRule="atLeast"/>
          <w:jc w:val="center"/>
        </w:trPr>
        <w:tc>
          <w:tcPr>
            <w:tcW w:w="654" w:type="dxa"/>
            <w:vMerge w:val="restart"/>
            <w:tcBorders>
              <w:top w:val="nil"/>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auto"/>
                <w:sz w:val="32"/>
                <w:szCs w:val="32"/>
              </w:rPr>
            </w:pPr>
            <w:r>
              <w:rPr>
                <w:rFonts w:hint="eastAsia" w:ascii="宋体" w:hAnsi="宋体" w:eastAsia="宋体" w:cs="宋体"/>
                <w:color w:val="auto"/>
                <w:kern w:val="0"/>
                <w:sz w:val="20"/>
                <w:szCs w:val="20"/>
              </w:rPr>
              <w:t>结果维持</w:t>
            </w:r>
          </w:p>
        </w:tc>
        <w:tc>
          <w:tcPr>
            <w:tcW w:w="654" w:type="dxa"/>
            <w:vMerge w:val="restart"/>
            <w:tcBorders>
              <w:top w:val="nil"/>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auto"/>
                <w:sz w:val="32"/>
                <w:szCs w:val="32"/>
              </w:rPr>
            </w:pPr>
            <w:r>
              <w:rPr>
                <w:rFonts w:hint="eastAsia" w:ascii="宋体" w:hAnsi="宋体" w:eastAsia="宋体" w:cs="宋体"/>
                <w:color w:val="auto"/>
                <w:kern w:val="0"/>
                <w:sz w:val="20"/>
                <w:szCs w:val="20"/>
              </w:rPr>
              <w:t>结果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纠正</w:t>
            </w:r>
          </w:p>
        </w:tc>
        <w:tc>
          <w:tcPr>
            <w:tcW w:w="654"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auto"/>
                <w:sz w:val="32"/>
                <w:szCs w:val="32"/>
              </w:rPr>
            </w:pPr>
            <w:r>
              <w:rPr>
                <w:rFonts w:hint="eastAsia" w:ascii="宋体" w:hAnsi="宋体" w:eastAsia="宋体" w:cs="宋体"/>
                <w:color w:val="auto"/>
                <w:kern w:val="0"/>
                <w:sz w:val="20"/>
                <w:szCs w:val="20"/>
              </w:rPr>
              <w:t>其他</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结果</w:t>
            </w:r>
          </w:p>
        </w:tc>
        <w:tc>
          <w:tcPr>
            <w:tcW w:w="654"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auto"/>
                <w:sz w:val="32"/>
                <w:szCs w:val="32"/>
              </w:rPr>
            </w:pPr>
            <w:r>
              <w:rPr>
                <w:rFonts w:hint="eastAsia" w:ascii="宋体" w:hAnsi="宋体" w:eastAsia="宋体" w:cs="宋体"/>
                <w:color w:val="auto"/>
                <w:kern w:val="0"/>
                <w:sz w:val="20"/>
                <w:szCs w:val="20"/>
              </w:rPr>
              <w:t>尚未</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审结</w:t>
            </w:r>
          </w:p>
        </w:tc>
        <w:tc>
          <w:tcPr>
            <w:tcW w:w="666"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auto"/>
                <w:sz w:val="32"/>
                <w:szCs w:val="32"/>
              </w:rPr>
            </w:pPr>
            <w:r>
              <w:rPr>
                <w:rFonts w:hint="eastAsia" w:ascii="宋体" w:hAnsi="宋体" w:eastAsia="宋体" w:cs="宋体"/>
                <w:color w:val="auto"/>
                <w:kern w:val="0"/>
                <w:sz w:val="20"/>
                <w:szCs w:val="20"/>
              </w:rPr>
              <w:t>总计</w:t>
            </w:r>
          </w:p>
        </w:tc>
        <w:tc>
          <w:tcPr>
            <w:tcW w:w="328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auto"/>
                <w:sz w:val="32"/>
                <w:szCs w:val="32"/>
              </w:rPr>
            </w:pPr>
            <w:r>
              <w:rPr>
                <w:rFonts w:hint="eastAsia" w:ascii="宋体" w:hAnsi="宋体" w:eastAsia="宋体" w:cs="宋体"/>
                <w:color w:val="auto"/>
                <w:kern w:val="0"/>
                <w:sz w:val="20"/>
                <w:szCs w:val="20"/>
              </w:rPr>
              <w:t>未经复议直接起诉</w:t>
            </w:r>
          </w:p>
        </w:tc>
        <w:tc>
          <w:tcPr>
            <w:tcW w:w="3293"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auto"/>
                <w:sz w:val="32"/>
                <w:szCs w:val="32"/>
              </w:rPr>
            </w:pPr>
            <w:r>
              <w:rPr>
                <w:rFonts w:hint="eastAsia" w:ascii="宋体" w:hAnsi="宋体" w:eastAsia="宋体" w:cs="宋体"/>
                <w:color w:val="auto"/>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35" w:hRule="atLeast"/>
          <w:jc w:val="center"/>
        </w:trPr>
        <w:tc>
          <w:tcPr>
            <w:tcW w:w="654" w:type="dxa"/>
            <w:vMerge w:val="continue"/>
            <w:tcBorders>
              <w:top w:val="single" w:color="auto" w:sz="4"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Times New Roman" w:eastAsia="仿宋_GB2312" w:cs="Times New Roman"/>
                <w:color w:val="auto"/>
                <w:sz w:val="24"/>
                <w:szCs w:val="24"/>
              </w:rPr>
            </w:pPr>
          </w:p>
        </w:tc>
        <w:tc>
          <w:tcPr>
            <w:tcW w:w="654" w:type="dxa"/>
            <w:vMerge w:val="continue"/>
            <w:tcBorders>
              <w:top w:val="single" w:color="auto" w:sz="4"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Times New Roman" w:eastAsia="仿宋_GB2312" w:cs="Times New Roman"/>
                <w:color w:val="auto"/>
                <w:sz w:val="24"/>
                <w:szCs w:val="24"/>
              </w:rPr>
            </w:pPr>
          </w:p>
        </w:tc>
        <w:tc>
          <w:tcPr>
            <w:tcW w:w="654"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Times New Roman" w:eastAsia="仿宋_GB2312" w:cs="Times New Roman"/>
                <w:color w:val="auto"/>
                <w:sz w:val="24"/>
                <w:szCs w:val="24"/>
              </w:rPr>
            </w:pPr>
          </w:p>
        </w:tc>
        <w:tc>
          <w:tcPr>
            <w:tcW w:w="654"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Times New Roman" w:eastAsia="仿宋_GB2312" w:cs="Times New Roman"/>
                <w:color w:val="auto"/>
                <w:sz w:val="24"/>
                <w:szCs w:val="24"/>
              </w:rPr>
            </w:pPr>
          </w:p>
        </w:tc>
        <w:tc>
          <w:tcPr>
            <w:tcW w:w="666"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Times New Roman" w:eastAsia="仿宋_GB2312" w:cs="Times New Roman"/>
                <w:color w:val="auto"/>
                <w:sz w:val="24"/>
                <w:szCs w:val="24"/>
              </w:rPr>
            </w:pPr>
          </w:p>
        </w:tc>
        <w:tc>
          <w:tcPr>
            <w:tcW w:w="654" w:type="dxa"/>
            <w:tcBorders>
              <w:top w:val="single" w:color="auto" w:sz="4"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auto"/>
                <w:sz w:val="32"/>
                <w:szCs w:val="32"/>
              </w:rPr>
            </w:pPr>
            <w:r>
              <w:rPr>
                <w:rFonts w:hint="eastAsia" w:ascii="宋体" w:hAnsi="宋体" w:eastAsia="宋体" w:cs="宋体"/>
                <w:color w:val="auto"/>
                <w:kern w:val="0"/>
                <w:sz w:val="20"/>
                <w:szCs w:val="20"/>
              </w:rPr>
              <w:t>结果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维持</w:t>
            </w:r>
          </w:p>
        </w:tc>
        <w:tc>
          <w:tcPr>
            <w:tcW w:w="654" w:type="dxa"/>
            <w:tcBorders>
              <w:top w:val="single" w:color="auto" w:sz="4"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auto"/>
                <w:sz w:val="32"/>
                <w:szCs w:val="32"/>
              </w:rPr>
            </w:pPr>
            <w:r>
              <w:rPr>
                <w:rFonts w:hint="eastAsia" w:ascii="宋体" w:hAnsi="宋体" w:eastAsia="宋体" w:cs="宋体"/>
                <w:color w:val="auto"/>
                <w:kern w:val="0"/>
                <w:sz w:val="20"/>
                <w:szCs w:val="20"/>
              </w:rPr>
              <w:t>结果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纠正</w:t>
            </w:r>
          </w:p>
        </w:tc>
        <w:tc>
          <w:tcPr>
            <w:tcW w:w="655"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auto"/>
                <w:sz w:val="32"/>
                <w:szCs w:val="32"/>
              </w:rPr>
            </w:pPr>
            <w:r>
              <w:rPr>
                <w:rFonts w:hint="eastAsia" w:ascii="宋体" w:hAnsi="宋体" w:eastAsia="宋体" w:cs="宋体"/>
                <w:color w:val="auto"/>
                <w:kern w:val="0"/>
                <w:sz w:val="20"/>
                <w:szCs w:val="20"/>
              </w:rPr>
              <w:t>其他</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结果</w:t>
            </w:r>
          </w:p>
        </w:tc>
        <w:tc>
          <w:tcPr>
            <w:tcW w:w="655"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auto"/>
                <w:sz w:val="32"/>
                <w:szCs w:val="32"/>
              </w:rPr>
            </w:pPr>
            <w:r>
              <w:rPr>
                <w:rFonts w:hint="eastAsia" w:ascii="宋体" w:hAnsi="宋体" w:eastAsia="宋体" w:cs="宋体"/>
                <w:color w:val="auto"/>
                <w:kern w:val="0"/>
                <w:sz w:val="20"/>
                <w:szCs w:val="20"/>
              </w:rPr>
              <w:t>尚未</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审结</w:t>
            </w:r>
          </w:p>
        </w:tc>
        <w:tc>
          <w:tcPr>
            <w:tcW w:w="666"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auto"/>
                <w:sz w:val="32"/>
                <w:szCs w:val="32"/>
              </w:rPr>
            </w:pPr>
            <w:r>
              <w:rPr>
                <w:rFonts w:hint="eastAsia" w:ascii="宋体" w:hAnsi="宋体" w:eastAsia="宋体" w:cs="宋体"/>
                <w:color w:val="auto"/>
                <w:kern w:val="0"/>
                <w:sz w:val="20"/>
                <w:szCs w:val="20"/>
              </w:rPr>
              <w:t>总计</w:t>
            </w:r>
          </w:p>
        </w:tc>
        <w:tc>
          <w:tcPr>
            <w:tcW w:w="655"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auto"/>
                <w:sz w:val="32"/>
                <w:szCs w:val="32"/>
              </w:rPr>
            </w:pPr>
            <w:r>
              <w:rPr>
                <w:rFonts w:hint="eastAsia" w:ascii="宋体" w:hAnsi="宋体" w:eastAsia="宋体" w:cs="宋体"/>
                <w:color w:val="auto"/>
                <w:kern w:val="0"/>
                <w:sz w:val="20"/>
                <w:szCs w:val="20"/>
              </w:rPr>
              <w:t>结果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维持</w:t>
            </w:r>
          </w:p>
        </w:tc>
        <w:tc>
          <w:tcPr>
            <w:tcW w:w="655"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auto"/>
                <w:sz w:val="32"/>
                <w:szCs w:val="32"/>
              </w:rPr>
            </w:pPr>
            <w:r>
              <w:rPr>
                <w:rFonts w:hint="eastAsia" w:ascii="宋体" w:hAnsi="宋体" w:eastAsia="宋体" w:cs="宋体"/>
                <w:color w:val="auto"/>
                <w:kern w:val="0"/>
                <w:sz w:val="20"/>
                <w:szCs w:val="20"/>
              </w:rPr>
              <w:t>结果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纠正</w:t>
            </w:r>
          </w:p>
        </w:tc>
        <w:tc>
          <w:tcPr>
            <w:tcW w:w="655"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auto"/>
                <w:sz w:val="32"/>
                <w:szCs w:val="32"/>
              </w:rPr>
            </w:pPr>
            <w:r>
              <w:rPr>
                <w:rFonts w:hint="eastAsia" w:ascii="宋体" w:hAnsi="宋体" w:eastAsia="宋体" w:cs="宋体"/>
                <w:color w:val="auto"/>
                <w:kern w:val="0"/>
                <w:sz w:val="20"/>
                <w:szCs w:val="20"/>
              </w:rPr>
              <w:t>其他</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结果</w:t>
            </w:r>
          </w:p>
        </w:tc>
        <w:tc>
          <w:tcPr>
            <w:tcW w:w="655"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color w:val="auto"/>
                <w:sz w:val="32"/>
                <w:szCs w:val="32"/>
              </w:rPr>
            </w:pPr>
            <w:r>
              <w:rPr>
                <w:rFonts w:hint="eastAsia" w:ascii="宋体" w:hAnsi="宋体" w:eastAsia="宋体" w:cs="宋体"/>
                <w:color w:val="auto"/>
                <w:kern w:val="0"/>
                <w:sz w:val="20"/>
                <w:szCs w:val="20"/>
              </w:rPr>
              <w:t>尚未</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审结</w:t>
            </w:r>
          </w:p>
        </w:tc>
        <w:tc>
          <w:tcPr>
            <w:tcW w:w="673"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ascii="仿宋_GB2312" w:hAnsi="Times New Roman" w:eastAsia="仿宋_GB2312" w:cs="Times New Roman"/>
                <w:color w:val="auto"/>
                <w:sz w:val="32"/>
                <w:szCs w:val="32"/>
              </w:rPr>
            </w:pPr>
            <w:r>
              <w:rPr>
                <w:rFonts w:hint="eastAsia" w:ascii="宋体" w:hAnsi="宋体" w:eastAsia="宋体" w:cs="宋体"/>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8" w:hRule="atLeast"/>
          <w:jc w:val="center"/>
        </w:trPr>
        <w:tc>
          <w:tcPr>
            <w:tcW w:w="654"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ascii="仿宋_GB2312"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54"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ascii="仿宋_GB2312"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54"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ascii="仿宋_GB2312"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54"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ascii="仿宋_GB2312"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66"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ascii="仿宋_GB2312"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54"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ascii="仿宋_GB2312"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54"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ascii="仿宋_GB2312"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55"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ascii="仿宋_GB2312"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55"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ascii="仿宋_GB2312"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66"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ascii="仿宋_GB2312"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55"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ascii="仿宋_GB2312"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55"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ascii="仿宋_GB2312"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55"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ascii="仿宋_GB2312"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55"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ascii="仿宋_GB2312" w:hAnsi="Times New Roman" w:eastAsia="仿宋_GB2312" w:cs="Times New Roman"/>
                <w:color w:val="auto"/>
                <w:sz w:val="32"/>
                <w:szCs w:val="32"/>
              </w:rPr>
            </w:pPr>
            <w:r>
              <w:rPr>
                <w:rFonts w:hint="eastAsia" w:ascii="Times New Roman" w:hAnsi="Times New Roman" w:eastAsia="仿宋_GB2312" w:cs="Times New Roman"/>
                <w:color w:val="auto"/>
                <w:kern w:val="0"/>
                <w:sz w:val="20"/>
                <w:szCs w:val="20"/>
                <w:lang w:val="en-US" w:eastAsia="zh-CN"/>
              </w:rPr>
              <w:t>0</w:t>
            </w:r>
          </w:p>
        </w:tc>
        <w:tc>
          <w:tcPr>
            <w:tcW w:w="673"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ascii="宋体" w:hAnsi="Times New Roman" w:eastAsia="仿宋_GB2312" w:cs="Times New Roman"/>
                <w:color w:val="auto"/>
                <w:sz w:val="24"/>
                <w:szCs w:val="24"/>
              </w:rPr>
            </w:pPr>
            <w:r>
              <w:rPr>
                <w:rFonts w:hint="eastAsia" w:ascii="Times New Roman" w:hAnsi="Times New Roman" w:eastAsia="仿宋_GB2312" w:cs="Times New Roman"/>
                <w:color w:val="auto"/>
                <w:kern w:val="0"/>
                <w:sz w:val="20"/>
                <w:szCs w:val="20"/>
                <w:lang w:val="en-US" w:eastAsia="zh-CN"/>
              </w:rPr>
              <w:t>0</w:t>
            </w:r>
          </w:p>
        </w:tc>
      </w:tr>
    </w:tbl>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方正黑体_GBK" w:hAnsi="方正黑体_GBK" w:eastAsia="方正黑体_GBK" w:cs="方正黑体_GBK"/>
          <w:b w:val="0"/>
          <w:bCs/>
          <w:color w:val="auto"/>
          <w:kern w:val="0"/>
          <w:sz w:val="32"/>
          <w:szCs w:val="32"/>
          <w:shd w:val="clear" w:color="auto" w:fill="FFFFFF"/>
          <w:lang w:val="en-US" w:eastAsia="zh-CN" w:bidi="ar-SA"/>
        </w:rPr>
      </w:pPr>
      <w:r>
        <w:rPr>
          <w:rFonts w:hint="eastAsia" w:ascii="方正黑体_GBK" w:hAnsi="方正黑体_GBK" w:eastAsia="方正黑体_GBK" w:cs="方正黑体_GBK"/>
          <w:b w:val="0"/>
          <w:bCs/>
          <w:color w:val="auto"/>
          <w:kern w:val="0"/>
          <w:sz w:val="32"/>
          <w:szCs w:val="32"/>
          <w:shd w:val="clear" w:color="auto" w:fill="FFFFFF"/>
          <w:lang w:val="en-US" w:eastAsia="zh-CN" w:bidi="ar-SA"/>
        </w:rPr>
        <w:t>五、存在的主要问题及改进情况</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针对2024年存在的</w:t>
      </w:r>
      <w:r>
        <w:rPr>
          <w:rFonts w:hint="eastAsia" w:ascii="Times New Roman" w:hAnsi="Times New Roman" w:eastAsia="方正仿宋_GBK" w:cs="Times New Roman"/>
          <w:i w:val="0"/>
          <w:caps w:val="0"/>
          <w:color w:val="auto"/>
          <w:spacing w:val="0"/>
          <w:sz w:val="32"/>
          <w:szCs w:val="32"/>
          <w:shd w:val="clear" w:color="auto" w:fill="FFFFFF"/>
          <w:lang w:eastAsia="zh-CN"/>
        </w:rPr>
        <w:t>重大决策部署意见征集的主动性、时效性不够</w:t>
      </w:r>
      <w:r>
        <w:rPr>
          <w:rFonts w:hint="eastAsia" w:ascii="Times New Roman" w:hAnsi="Times New Roman" w:eastAsia="方正仿宋_GBK" w:cs="Times New Roman"/>
          <w:color w:val="auto"/>
          <w:kern w:val="0"/>
          <w:sz w:val="32"/>
          <w:szCs w:val="32"/>
          <w:lang w:val="en-US" w:eastAsia="zh-CN"/>
        </w:rPr>
        <w:t>问题，2025年市农业农村局在日常开展发文必要性审核工作时明确要求文件起草科室、单位及时、规范征求相关主体意见。虽然在推进政务公开方面做了一些工作，但仍有一定差距，如清单公开不完整、财政信息发布不及时。</w:t>
      </w:r>
      <w:r>
        <w:rPr>
          <w:rFonts w:hint="eastAsia" w:ascii="Times New Roman" w:hAnsi="Times New Roman" w:eastAsia="方正仿宋_GBK" w:cs="Times New Roman"/>
          <w:color w:val="auto"/>
          <w:kern w:val="0"/>
          <w:sz w:val="32"/>
          <w:szCs w:val="32"/>
          <w:lang w:val="en-US" w:eastAsia="zh-CN"/>
        </w:rPr>
        <w:t>下一步，我局将全面落实省市政务公开工作部署为抓手，深化清单管理，确保权责清单完整、规范、动态公开；强化部门预决算、专项资金等财政领域信息公开时效性，严格在规定时限内发布。</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方正黑体_GBK" w:hAnsi="方正黑体_GBK" w:eastAsia="方正黑体_GBK" w:cs="方正黑体_GBK"/>
          <w:b w:val="0"/>
          <w:bCs/>
          <w:color w:val="auto"/>
          <w:kern w:val="0"/>
          <w:sz w:val="32"/>
          <w:szCs w:val="32"/>
          <w:shd w:val="clear" w:color="auto" w:fill="FFFFFF"/>
          <w:lang w:val="en-US" w:eastAsia="zh-CN" w:bidi="ar-SA"/>
        </w:rPr>
      </w:pPr>
      <w:r>
        <w:rPr>
          <w:rFonts w:hint="eastAsia" w:ascii="方正黑体_GBK" w:hAnsi="方正黑体_GBK" w:eastAsia="方正黑体_GBK" w:cs="方正黑体_GBK"/>
          <w:b w:val="0"/>
          <w:bCs/>
          <w:color w:val="auto"/>
          <w:kern w:val="0"/>
          <w:sz w:val="32"/>
          <w:szCs w:val="32"/>
          <w:shd w:val="clear" w:color="auto" w:fill="FFFFFF"/>
          <w:lang w:val="en-US" w:eastAsia="zh-CN" w:bidi="ar-SA"/>
        </w:rPr>
        <w:t>六、其他需要报告的事项</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420"/>
        <w:jc w:val="left"/>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按照《国务院办公厅关于印发〈政府信息公开信息处理费管理办法〉的通知》（国办函〔2020〕109号）规定的按件、按量收费标准，本年度没有产生信息公开处理费。</w:t>
      </w:r>
    </w:p>
    <w:sectPr>
      <w:footerReference r:id="rId3" w:type="default"/>
      <w:footerReference r:id="rId4" w:type="even"/>
      <w:pgSz w:w="11906" w:h="16838"/>
      <w:pgMar w:top="1701" w:right="1474" w:bottom="1474" w:left="1701" w:header="851" w:footer="102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right"/>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 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9</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tabs>
        <w:tab w:val="center" w:pos="4153"/>
        <w:tab w:val="right" w:pos="8306"/>
      </w:tabs>
      <w:snapToGrid w:val="0"/>
      <w:jc w:val="left"/>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8</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p>
    <w:pPr>
      <w:widowControl w:val="0"/>
      <w:tabs>
        <w:tab w:val="center" w:pos="4153"/>
        <w:tab w:val="right" w:pos="8306"/>
      </w:tabs>
      <w:snapToGrid w:val="0"/>
      <w:ind w:right="360" w:firstLine="360"/>
      <w:jc w:val="left"/>
      <w:rPr>
        <w:rFonts w:ascii="仿宋_GB2312" w:hAnsi="Times New Roman" w:eastAsia="仿宋_GB2312" w:cs="Times New Roman"/>
        <w:kern w:val="2"/>
        <w:sz w:val="28"/>
        <w:szCs w:val="2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90774"/>
    <w:rsid w:val="1DCC48F6"/>
    <w:rsid w:val="1F2E743E"/>
    <w:rsid w:val="1FBECE97"/>
    <w:rsid w:val="22FB78F7"/>
    <w:rsid w:val="23F9F370"/>
    <w:rsid w:val="2EBF7F51"/>
    <w:rsid w:val="3DBE9266"/>
    <w:rsid w:val="3FDE1BED"/>
    <w:rsid w:val="3FFF1AEE"/>
    <w:rsid w:val="509F03AC"/>
    <w:rsid w:val="52EA3518"/>
    <w:rsid w:val="5A862E7C"/>
    <w:rsid w:val="5B656B0B"/>
    <w:rsid w:val="5F3701A9"/>
    <w:rsid w:val="61744FEB"/>
    <w:rsid w:val="67BDDAB5"/>
    <w:rsid w:val="68FFBB5F"/>
    <w:rsid w:val="6CEA1A52"/>
    <w:rsid w:val="6E7F0ED5"/>
    <w:rsid w:val="6EFE1175"/>
    <w:rsid w:val="BBF960B4"/>
    <w:rsid w:val="EFD28B5D"/>
    <w:rsid w:val="EFF73424"/>
    <w:rsid w:val="F7D847D9"/>
    <w:rsid w:val="FA7FC772"/>
    <w:rsid w:val="FD2F6017"/>
    <w:rsid w:val="FFEB85B7"/>
    <w:rsid w:val="FFED4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726</Words>
  <Characters>766</Characters>
  <Lines>0</Lines>
  <Paragraphs>0</Paragraphs>
  <TotalTime>11</TotalTime>
  <ScaleCrop>false</ScaleCrop>
  <LinksUpToDate>false</LinksUpToDate>
  <CharactersWithSpaces>766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Administrator</dc:creator>
  <cp:lastModifiedBy>administrator</cp:lastModifiedBy>
  <dcterms:modified xsi:type="dcterms:W3CDTF">2026-01-23T10:32:34Z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90195B2CCD404D769FFE4564E7BD9A64_12</vt:lpwstr>
  </property>
  <property fmtid="{D5CDD505-2E9C-101B-9397-08002B2CF9AE}" pid="4" name="KSOTemplateDocerSaveRecord">
    <vt:lpwstr>eyJoZGlkIjoiNDhkODJmZWMyYmE1OWFlODdhYWFiZDdlYmUzYmU0ODIiLCJ1c2VySWQiOiI0MDgzNjM5MDQifQ==</vt:lpwstr>
  </property>
</Properties>
</file>