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keepLines/>
        <w:pageBreakBefore w:val="0"/>
        <w:widowControl w:val="0"/>
        <w:kinsoku/>
        <w:wordWrap/>
        <w:overflowPunct/>
        <w:topLinePunct w:val="0"/>
        <w:autoSpaceDE/>
        <w:autoSpaceDN/>
        <w:bidi w:val="0"/>
        <w:adjustRightInd/>
        <w:snapToGrid/>
        <w:spacing w:before="0" w:beforeLines="0" w:after="0" w:afterLines="0" w:line="620" w:lineRule="exact"/>
        <w:ind w:right="0"/>
        <w:jc w:val="both"/>
        <w:textAlignment w:val="auto"/>
        <w:outlineLvl w:val="0"/>
        <w:rPr>
          <w:rFonts w:hint="eastAsia" w:ascii="黑体" w:hAnsi="黑体" w:eastAsia="黑体" w:cs="黑体"/>
          <w:b w:val="0"/>
          <w:bCs w:val="0"/>
          <w:color w:val="auto"/>
          <w:sz w:val="32"/>
          <w:szCs w:val="32"/>
          <w:lang w:val="en-US" w:eastAsia="zh-CN"/>
        </w:rPr>
      </w:pPr>
      <w:bookmarkStart w:id="1" w:name="_GoBack"/>
      <w:bookmarkEnd w:id="1"/>
      <w:r>
        <w:rPr>
          <w:rFonts w:hint="eastAsia" w:ascii="黑体" w:hAnsi="黑体" w:eastAsia="黑体" w:cs="黑体"/>
          <w:b w:val="0"/>
          <w:bCs w:val="0"/>
          <w:color w:val="auto"/>
          <w:sz w:val="32"/>
          <w:szCs w:val="32"/>
          <w:lang w:eastAsia="zh-CN"/>
        </w:rPr>
        <w:t>附件</w:t>
      </w:r>
      <w:r>
        <w:rPr>
          <w:rFonts w:hint="eastAsia" w:ascii="黑体" w:hAnsi="黑体" w:eastAsia="黑体" w:cs="黑体"/>
          <w:b w:val="0"/>
          <w:bCs w:val="0"/>
          <w:color w:val="auto"/>
          <w:sz w:val="32"/>
          <w:szCs w:val="32"/>
          <w:lang w:val="en-US" w:eastAsia="zh-CN"/>
        </w:rPr>
        <w:t>2</w:t>
      </w:r>
    </w:p>
    <w:p>
      <w:pPr>
        <w:rPr>
          <w:rFonts w:hint="eastAsia"/>
          <w:lang w:val="en-US" w:eastAsia="zh-CN"/>
        </w:rPr>
      </w:pPr>
    </w:p>
    <w:p>
      <w:pPr>
        <w:pStyle w:val="6"/>
        <w:keepNext/>
        <w:keepLines/>
        <w:pageBreakBefore w:val="0"/>
        <w:widowControl w:val="0"/>
        <w:kinsoku/>
        <w:wordWrap/>
        <w:overflowPunct/>
        <w:topLinePunct w:val="0"/>
        <w:autoSpaceDE/>
        <w:autoSpaceDN/>
        <w:bidi w:val="0"/>
        <w:adjustRightInd/>
        <w:snapToGrid/>
        <w:spacing w:before="0" w:beforeLines="0" w:after="0" w:afterLines="0" w:line="660" w:lineRule="exact"/>
        <w:ind w:right="0"/>
        <w:jc w:val="center"/>
        <w:textAlignment w:val="auto"/>
        <w:outlineLvl w:val="0"/>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评</w:t>
      </w:r>
      <w:r>
        <w:rPr>
          <w:rFonts w:hint="eastAsia" w:ascii="方正小标宋简体" w:hAnsi="方正小标宋简体" w:eastAsia="方正小标宋简体" w:cs="方正小标宋简体"/>
          <w:b w:val="0"/>
          <w:bCs w:val="0"/>
          <w:color w:val="auto"/>
          <w:sz w:val="44"/>
          <w:szCs w:val="44"/>
          <w:lang w:val="en"/>
        </w:rPr>
        <w:t xml:space="preserve"> </w:t>
      </w:r>
      <w:r>
        <w:rPr>
          <w:rFonts w:hint="eastAsia" w:ascii="方正小标宋简体" w:hAnsi="方正小标宋简体" w:eastAsia="方正小标宋简体" w:cs="方正小标宋简体"/>
          <w:b w:val="0"/>
          <w:bCs w:val="0"/>
          <w:color w:val="auto"/>
          <w:sz w:val="44"/>
          <w:szCs w:val="44"/>
        </w:rPr>
        <w:t>分</w:t>
      </w:r>
      <w:r>
        <w:rPr>
          <w:rFonts w:hint="eastAsia" w:ascii="方正小标宋简体" w:hAnsi="方正小标宋简体" w:eastAsia="方正小标宋简体" w:cs="方正小标宋简体"/>
          <w:b w:val="0"/>
          <w:bCs w:val="0"/>
          <w:color w:val="auto"/>
          <w:sz w:val="44"/>
          <w:szCs w:val="44"/>
          <w:lang w:val="en"/>
        </w:rPr>
        <w:t xml:space="preserve"> </w:t>
      </w:r>
      <w:r>
        <w:rPr>
          <w:rFonts w:hint="eastAsia" w:ascii="方正小标宋简体" w:hAnsi="方正小标宋简体" w:eastAsia="方正小标宋简体" w:cs="方正小标宋简体"/>
          <w:b w:val="0"/>
          <w:bCs w:val="0"/>
          <w:color w:val="auto"/>
          <w:sz w:val="44"/>
          <w:szCs w:val="44"/>
        </w:rPr>
        <w:t>标</w:t>
      </w:r>
      <w:r>
        <w:rPr>
          <w:rFonts w:hint="eastAsia" w:ascii="方正小标宋简体" w:hAnsi="方正小标宋简体" w:eastAsia="方正小标宋简体" w:cs="方正小标宋简体"/>
          <w:b w:val="0"/>
          <w:bCs w:val="0"/>
          <w:color w:val="auto"/>
          <w:sz w:val="44"/>
          <w:szCs w:val="44"/>
          <w:lang w:val="en"/>
        </w:rPr>
        <w:t xml:space="preserve"> </w:t>
      </w:r>
      <w:r>
        <w:rPr>
          <w:rFonts w:hint="eastAsia" w:ascii="方正小标宋简体" w:hAnsi="方正小标宋简体" w:eastAsia="方正小标宋简体" w:cs="方正小标宋简体"/>
          <w:b w:val="0"/>
          <w:bCs w:val="0"/>
          <w:color w:val="auto"/>
          <w:sz w:val="44"/>
          <w:szCs w:val="44"/>
        </w:rPr>
        <w:t>准</w:t>
      </w:r>
    </w:p>
    <w:p>
      <w:pPr>
        <w:keepNext w:val="0"/>
        <w:keepLines w:val="0"/>
        <w:pageBreakBefore w:val="0"/>
        <w:widowControl w:val="0"/>
        <w:kinsoku/>
        <w:wordWrap/>
        <w:overflowPunct/>
        <w:topLinePunct w:val="0"/>
        <w:autoSpaceDE/>
        <w:autoSpaceDN/>
        <w:bidi w:val="0"/>
        <w:adjustRightInd/>
        <w:snapToGrid/>
        <w:spacing w:line="420" w:lineRule="exact"/>
        <w:ind w:right="0" w:firstLine="480" w:firstLineChars="200"/>
        <w:textAlignment w:val="auto"/>
        <w:rPr>
          <w:rFonts w:hint="default" w:ascii="宋体" w:hAnsi="宋体" w:eastAsia="宋体" w:cs="宋体"/>
          <w:bCs/>
          <w:color w:val="auto"/>
          <w:sz w:val="24"/>
          <w:szCs w:val="24"/>
        </w:rPr>
      </w:pPr>
    </w:p>
    <w:p>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right="0" w:firstLine="640"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 xml:space="preserve">本次磋商采用百分制评分法，商务（报价）权重 </w:t>
      </w:r>
      <w:r>
        <w:rPr>
          <w:rFonts w:hint="default" w:ascii="Times New Roman" w:hAnsi="Times New Roman" w:eastAsia="仿宋_GB2312" w:cs="Times New Roman"/>
          <w:bCs/>
          <w:color w:val="auto"/>
          <w:sz w:val="32"/>
          <w:szCs w:val="32"/>
          <w:lang w:val="en-US" w:eastAsia="zh-CN"/>
        </w:rPr>
        <w:t xml:space="preserve">10 </w:t>
      </w:r>
      <w:r>
        <w:rPr>
          <w:rFonts w:hint="default" w:ascii="Times New Roman" w:hAnsi="Times New Roman" w:eastAsia="仿宋_GB2312" w:cs="Times New Roman"/>
          <w:bCs/>
          <w:color w:val="auto"/>
          <w:sz w:val="32"/>
          <w:szCs w:val="32"/>
        </w:rPr>
        <w:t>%，经评审满足磋商文件要求且最后报价最低的供应商的价格为磋商基准价，其价格为满分，得</w:t>
      </w:r>
      <w:r>
        <w:rPr>
          <w:rFonts w:hint="default" w:ascii="Times New Roman" w:hAnsi="Times New Roman" w:eastAsia="仿宋_GB2312" w:cs="Times New Roman"/>
          <w:bCs/>
          <w:color w:val="auto"/>
          <w:sz w:val="32"/>
          <w:szCs w:val="32"/>
          <w:lang w:val="en-US" w:eastAsia="zh-CN"/>
        </w:rPr>
        <w:t xml:space="preserve"> 10 </w:t>
      </w:r>
      <w:r>
        <w:rPr>
          <w:rFonts w:hint="default" w:ascii="Times New Roman" w:hAnsi="Times New Roman" w:eastAsia="仿宋_GB2312" w:cs="Times New Roman"/>
          <w:bCs/>
          <w:color w:val="auto"/>
          <w:sz w:val="32"/>
          <w:szCs w:val="32"/>
        </w:rPr>
        <w:t>分。其他供应商的价格分统一按照下列公式计算：</w:t>
      </w:r>
    </w:p>
    <w:p>
      <w:pPr>
        <w:keepNext w:val="0"/>
        <w:keepLines w:val="0"/>
        <w:pageBreakBefore w:val="0"/>
        <w:widowControl w:val="0"/>
        <w:kinsoku/>
        <w:wordWrap/>
        <w:overflowPunct/>
        <w:topLinePunct w:val="0"/>
        <w:autoSpaceDE/>
        <w:autoSpaceDN/>
        <w:bidi w:val="0"/>
        <w:adjustRightInd/>
        <w:snapToGrid/>
        <w:spacing w:line="620" w:lineRule="exact"/>
        <w:ind w:right="0" w:firstLine="640"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 xml:space="preserve">磋商报价得分=（磋商基准价/最后磋商报价）× </w:t>
      </w:r>
      <w:r>
        <w:rPr>
          <w:rFonts w:hint="default" w:ascii="Times New Roman" w:hAnsi="Times New Roman" w:eastAsia="仿宋_GB2312" w:cs="Times New Roman"/>
          <w:bCs/>
          <w:color w:val="auto"/>
          <w:sz w:val="32"/>
          <w:szCs w:val="32"/>
          <w:lang w:val="en-US" w:eastAsia="zh-CN"/>
        </w:rPr>
        <w:t>10</w:t>
      </w:r>
      <w:r>
        <w:rPr>
          <w:rFonts w:hint="default" w:ascii="Times New Roman" w:hAnsi="Times New Roman" w:eastAsia="仿宋_GB2312" w:cs="Times New Roman"/>
          <w:bCs/>
          <w:color w:val="auto"/>
          <w:sz w:val="32"/>
          <w:szCs w:val="32"/>
        </w:rPr>
        <w:t xml:space="preserve"> %×100。</w:t>
      </w:r>
    </w:p>
    <w:p>
      <w:pPr>
        <w:keepNext w:val="0"/>
        <w:keepLines w:val="0"/>
        <w:pageBreakBefore w:val="0"/>
        <w:widowControl w:val="0"/>
        <w:kinsoku/>
        <w:wordWrap/>
        <w:overflowPunct/>
        <w:topLinePunct w:val="0"/>
        <w:autoSpaceDE/>
        <w:autoSpaceDN/>
        <w:bidi w:val="0"/>
        <w:adjustRightInd/>
        <w:snapToGrid/>
        <w:spacing w:line="620" w:lineRule="exact"/>
        <w:ind w:right="0" w:firstLine="640"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注：</w:t>
      </w:r>
      <w:r>
        <w:rPr>
          <w:rFonts w:hint="default" w:ascii="Times New Roman" w:hAnsi="Times New Roman" w:eastAsia="仿宋_GB2312" w:cs="Times New Roman"/>
          <w:bCs/>
          <w:color w:val="auto"/>
          <w:spacing w:val="-6"/>
          <w:sz w:val="32"/>
          <w:szCs w:val="32"/>
        </w:rPr>
        <w:t>超过最高限价的最后磋商报价为无效报价，按废标处理。</w:t>
      </w:r>
    </w:p>
    <w:p>
      <w:pPr>
        <w:keepNext w:val="0"/>
        <w:keepLines w:val="0"/>
        <w:pageBreakBefore w:val="0"/>
        <w:widowControl w:val="0"/>
        <w:kinsoku/>
        <w:wordWrap/>
        <w:overflowPunct/>
        <w:topLinePunct w:val="0"/>
        <w:autoSpaceDE/>
        <w:autoSpaceDN/>
        <w:bidi w:val="0"/>
        <w:adjustRightInd/>
        <w:snapToGrid/>
        <w:spacing w:line="620" w:lineRule="exact"/>
        <w:ind w:right="0" w:firstLine="640"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技术标</w:t>
      </w:r>
      <w:r>
        <w:rPr>
          <w:rFonts w:hint="default" w:ascii="Times New Roman" w:hAnsi="Times New Roman" w:eastAsia="仿宋_GB2312" w:cs="Times New Roman"/>
          <w:bCs/>
          <w:color w:val="auto"/>
          <w:sz w:val="32"/>
          <w:szCs w:val="32"/>
          <w:lang w:val="en-US" w:eastAsia="zh-CN"/>
        </w:rPr>
        <w:t>部分权重90%，</w:t>
      </w:r>
      <w:r>
        <w:rPr>
          <w:rFonts w:hint="default" w:ascii="Times New Roman" w:hAnsi="Times New Roman" w:eastAsia="仿宋_GB2312" w:cs="Times New Roman"/>
          <w:bCs/>
          <w:color w:val="auto"/>
          <w:sz w:val="32"/>
          <w:szCs w:val="32"/>
        </w:rPr>
        <w:t>对某一供应商的技术标的每一个指标项得分，取各位评委评分之平均值，四舍五入保留至小数点后两位数，得到该供应商该指标项的得分</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再将供应商每个技术标的指标项得分进行汇总，得到该供应商的技术标分之和。</w:t>
      </w:r>
    </w:p>
    <w:p>
      <w:pPr>
        <w:keepNext w:val="0"/>
        <w:keepLines w:val="0"/>
        <w:pageBreakBefore w:val="0"/>
        <w:widowControl w:val="0"/>
        <w:kinsoku/>
        <w:wordWrap/>
        <w:overflowPunct/>
        <w:topLinePunct w:val="0"/>
        <w:autoSpaceDE/>
        <w:autoSpaceDN/>
        <w:bidi w:val="0"/>
        <w:adjustRightInd/>
        <w:snapToGrid/>
        <w:spacing w:line="620" w:lineRule="exact"/>
        <w:ind w:right="0" w:firstLine="640"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lang w:val="en-US" w:eastAsia="zh-CN"/>
        </w:rPr>
        <w:t xml:space="preserve">2. </w:t>
      </w:r>
      <w:r>
        <w:rPr>
          <w:rFonts w:hint="default" w:ascii="Times New Roman" w:hAnsi="Times New Roman" w:eastAsia="仿宋_GB2312" w:cs="Times New Roman"/>
          <w:bCs/>
          <w:color w:val="auto"/>
          <w:sz w:val="32"/>
          <w:szCs w:val="32"/>
        </w:rPr>
        <w:t>具体评分细则如下：</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1227"/>
        <w:gridCol w:w="5471"/>
        <w:gridCol w:w="1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1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20" w:lineRule="exact"/>
              <w:ind w:right="0"/>
              <w:jc w:val="center"/>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类别</w:t>
            </w:r>
          </w:p>
        </w:tc>
        <w:tc>
          <w:tcPr>
            <w:tcW w:w="12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20" w:lineRule="exact"/>
              <w:ind w:right="0"/>
              <w:jc w:val="center"/>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评分</w:t>
            </w:r>
          </w:p>
          <w:p>
            <w:pPr>
              <w:keepNext w:val="0"/>
              <w:keepLines w:val="0"/>
              <w:pageBreakBefore w:val="0"/>
              <w:kinsoku/>
              <w:wordWrap/>
              <w:overflowPunct/>
              <w:topLinePunct w:val="0"/>
              <w:autoSpaceDE/>
              <w:autoSpaceDN/>
              <w:bidi w:val="0"/>
              <w:adjustRightInd/>
              <w:snapToGrid/>
              <w:spacing w:line="420" w:lineRule="exact"/>
              <w:ind w:right="0"/>
              <w:jc w:val="center"/>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内容</w:t>
            </w:r>
          </w:p>
        </w:tc>
        <w:tc>
          <w:tcPr>
            <w:tcW w:w="54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20" w:lineRule="exact"/>
              <w:ind w:right="0"/>
              <w:jc w:val="center"/>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评分标准</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20" w:lineRule="exact"/>
              <w:ind w:right="0"/>
              <w:jc w:val="center"/>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分值</w:t>
            </w:r>
          </w:p>
          <w:p>
            <w:pPr>
              <w:keepNext w:val="0"/>
              <w:keepLines w:val="0"/>
              <w:pageBreakBefore w:val="0"/>
              <w:kinsoku/>
              <w:wordWrap/>
              <w:overflowPunct/>
              <w:topLinePunct w:val="0"/>
              <w:autoSpaceDE/>
              <w:autoSpaceDN/>
              <w:bidi w:val="0"/>
              <w:adjustRightInd/>
              <w:snapToGrid/>
              <w:spacing w:line="420" w:lineRule="exact"/>
              <w:ind w:right="0"/>
              <w:jc w:val="center"/>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1021"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技术标分</w:t>
            </w:r>
          </w:p>
          <w:p>
            <w:pPr>
              <w:keepNext w:val="0"/>
              <w:keepLines w:val="0"/>
              <w:pageBreakBefore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color w:val="auto"/>
                <w:sz w:val="28"/>
                <w:szCs w:val="28"/>
                <w:u w:val="none"/>
                <w:lang w:val="en-US" w:eastAsia="zh-CN"/>
              </w:rPr>
              <w:t>90</w:t>
            </w:r>
            <w:r>
              <w:rPr>
                <w:rFonts w:hint="eastAsia" w:ascii="仿宋_GB2312" w:hAnsi="仿宋_GB2312" w:eastAsia="仿宋_GB2312" w:cs="仿宋_GB2312"/>
                <w:color w:val="auto"/>
                <w:sz w:val="28"/>
                <w:szCs w:val="28"/>
                <w:u w:val="none"/>
              </w:rPr>
              <w:t>分</w:t>
            </w:r>
          </w:p>
        </w:tc>
        <w:tc>
          <w:tcPr>
            <w:tcW w:w="122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设计</w:t>
            </w:r>
          </w:p>
          <w:p>
            <w:pPr>
              <w:keepNext w:val="0"/>
              <w:keepLines w:val="0"/>
              <w:pageBreakBefore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方案</w:t>
            </w:r>
          </w:p>
          <w:p>
            <w:pPr>
              <w:pStyle w:val="2"/>
              <w:keepNext w:val="0"/>
              <w:keepLines w:val="0"/>
              <w:pageBreakBefore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color w:val="auto"/>
                <w:sz w:val="28"/>
                <w:szCs w:val="28"/>
                <w:lang w:val="en-US" w:eastAsia="zh-CN"/>
              </w:rPr>
              <w:t>50分</w:t>
            </w:r>
          </w:p>
        </w:tc>
        <w:tc>
          <w:tcPr>
            <w:tcW w:w="54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ind w:right="0"/>
              <w:textAlignment w:val="auto"/>
              <w:rPr>
                <w:rFonts w:hint="eastAsia" w:ascii="仿宋_GB2312" w:hAnsi="仿宋_GB2312" w:eastAsia="仿宋_GB2312" w:cs="仿宋_GB2312"/>
                <w:bCs/>
                <w:color w:val="auto"/>
                <w:sz w:val="28"/>
                <w:szCs w:val="28"/>
                <w:lang w:eastAsia="zh-CN"/>
              </w:rPr>
            </w:pPr>
            <w:r>
              <w:rPr>
                <w:rFonts w:hint="eastAsia" w:ascii="仿宋_GB2312" w:hAnsi="仿宋_GB2312" w:eastAsia="仿宋_GB2312" w:cs="仿宋_GB2312"/>
                <w:bCs/>
                <w:color w:val="auto"/>
                <w:sz w:val="28"/>
                <w:szCs w:val="28"/>
              </w:rPr>
              <w:t>展厅与展位布局：在布局安排上，要整体设计、合理安排，保持参展企业</w:t>
            </w:r>
            <w:r>
              <w:rPr>
                <w:rFonts w:hint="eastAsia" w:ascii="仿宋_GB2312" w:hAnsi="仿宋_GB2312" w:eastAsia="仿宋_GB2312" w:cs="仿宋_GB2312"/>
                <w:bCs/>
                <w:color w:val="auto"/>
                <w:sz w:val="28"/>
                <w:szCs w:val="28"/>
                <w:lang w:val="en-US" w:eastAsia="zh-CN"/>
              </w:rPr>
              <w:t>展品摆放合理</w:t>
            </w:r>
            <w:r>
              <w:rPr>
                <w:rFonts w:hint="eastAsia" w:ascii="仿宋_GB2312" w:hAnsi="仿宋_GB2312" w:eastAsia="仿宋_GB2312" w:cs="仿宋_GB2312"/>
                <w:bCs/>
                <w:color w:val="auto"/>
                <w:sz w:val="28"/>
                <w:szCs w:val="28"/>
              </w:rPr>
              <w:t>，</w:t>
            </w:r>
            <w:r>
              <w:rPr>
                <w:rFonts w:hint="eastAsia" w:ascii="仿宋_GB2312" w:hAnsi="仿宋_GB2312" w:eastAsia="仿宋_GB2312" w:cs="仿宋_GB2312"/>
                <w:bCs/>
                <w:color w:val="auto"/>
                <w:sz w:val="28"/>
                <w:szCs w:val="28"/>
                <w:lang w:val="en-US" w:eastAsia="zh-CN"/>
              </w:rPr>
              <w:t>展台整体</w:t>
            </w:r>
            <w:r>
              <w:rPr>
                <w:rFonts w:hint="eastAsia" w:ascii="仿宋_GB2312" w:hAnsi="仿宋_GB2312" w:eastAsia="仿宋_GB2312" w:cs="仿宋_GB2312"/>
                <w:bCs/>
                <w:color w:val="auto"/>
                <w:sz w:val="28"/>
                <w:szCs w:val="28"/>
              </w:rPr>
              <w:t>空间</w:t>
            </w:r>
            <w:r>
              <w:rPr>
                <w:rFonts w:hint="eastAsia" w:ascii="仿宋_GB2312" w:hAnsi="仿宋_GB2312" w:eastAsia="仿宋_GB2312" w:cs="仿宋_GB2312"/>
                <w:bCs/>
                <w:color w:val="auto"/>
                <w:sz w:val="28"/>
                <w:szCs w:val="28"/>
                <w:lang w:val="en-US" w:eastAsia="zh-CN"/>
              </w:rPr>
              <w:t>通透明亮</w:t>
            </w:r>
            <w:r>
              <w:rPr>
                <w:rFonts w:hint="eastAsia" w:ascii="仿宋_GB2312" w:hAnsi="仿宋_GB2312" w:eastAsia="仿宋_GB2312" w:cs="仿宋_GB2312"/>
                <w:bCs/>
                <w:color w:val="auto"/>
                <w:sz w:val="28"/>
                <w:szCs w:val="28"/>
              </w:rPr>
              <w:t>，有特色。由磋商小组根据投标人的设计方案综合评</w:t>
            </w:r>
            <w:r>
              <w:rPr>
                <w:rFonts w:hint="eastAsia" w:ascii="仿宋_GB2312" w:hAnsi="仿宋_GB2312" w:eastAsia="仿宋_GB2312" w:cs="仿宋_GB2312"/>
                <w:bCs/>
                <w:color w:val="auto"/>
                <w:sz w:val="28"/>
                <w:szCs w:val="28"/>
                <w:lang w:eastAsia="zh-CN"/>
              </w:rPr>
              <w:t>分：</w:t>
            </w:r>
          </w:p>
          <w:p>
            <w:pPr>
              <w:keepNext w:val="0"/>
              <w:keepLines w:val="0"/>
              <w:pageBreakBefore w:val="0"/>
              <w:numPr>
                <w:ilvl w:val="0"/>
                <w:numId w:val="2"/>
              </w:numPr>
              <w:kinsoku/>
              <w:wordWrap/>
              <w:overflowPunct/>
              <w:topLinePunct w:val="0"/>
              <w:autoSpaceDE/>
              <w:autoSpaceDN/>
              <w:bidi w:val="0"/>
              <w:adjustRightInd/>
              <w:snapToGrid/>
              <w:spacing w:line="440" w:lineRule="exact"/>
              <w:ind w:right="0"/>
              <w:textAlignment w:val="auto"/>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eastAsia="zh-CN"/>
              </w:rPr>
              <w:t>优秀：</w:t>
            </w:r>
            <w:r>
              <w:rPr>
                <w:rFonts w:hint="eastAsia" w:ascii="仿宋_GB2312" w:hAnsi="仿宋_GB2312" w:eastAsia="仿宋_GB2312" w:cs="仿宋_GB2312"/>
                <w:bCs/>
                <w:color w:val="auto"/>
                <w:sz w:val="28"/>
                <w:szCs w:val="28"/>
                <w:lang w:val="en-US" w:eastAsia="zh-CN"/>
              </w:rPr>
              <w:t>21-30分</w:t>
            </w:r>
          </w:p>
          <w:p>
            <w:pPr>
              <w:keepNext w:val="0"/>
              <w:keepLines w:val="0"/>
              <w:pageBreakBefore w:val="0"/>
              <w:numPr>
                <w:ilvl w:val="0"/>
                <w:numId w:val="2"/>
              </w:numPr>
              <w:kinsoku/>
              <w:wordWrap/>
              <w:overflowPunct/>
              <w:topLinePunct w:val="0"/>
              <w:autoSpaceDE/>
              <w:autoSpaceDN/>
              <w:bidi w:val="0"/>
              <w:adjustRightInd/>
              <w:snapToGrid/>
              <w:spacing w:line="440" w:lineRule="exact"/>
              <w:ind w:right="0"/>
              <w:textAlignment w:val="auto"/>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良好11-20分</w:t>
            </w:r>
          </w:p>
          <w:p>
            <w:pPr>
              <w:keepNext w:val="0"/>
              <w:keepLines w:val="0"/>
              <w:pageBreakBefore w:val="0"/>
              <w:numPr>
                <w:ilvl w:val="0"/>
                <w:numId w:val="2"/>
              </w:numPr>
              <w:kinsoku/>
              <w:wordWrap/>
              <w:overflowPunct/>
              <w:topLinePunct w:val="0"/>
              <w:autoSpaceDE/>
              <w:autoSpaceDN/>
              <w:bidi w:val="0"/>
              <w:adjustRightInd/>
              <w:snapToGrid/>
              <w:spacing w:line="440" w:lineRule="exact"/>
              <w:ind w:right="0"/>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lang w:val="en-US" w:eastAsia="zh-CN"/>
              </w:rPr>
              <w:t>一般1-10分</w:t>
            </w:r>
          </w:p>
          <w:p>
            <w:pPr>
              <w:keepNext w:val="0"/>
              <w:keepLines w:val="0"/>
              <w:pageBreakBefore w:val="0"/>
              <w:numPr>
                <w:ilvl w:val="0"/>
                <w:numId w:val="2"/>
              </w:numPr>
              <w:kinsoku/>
              <w:wordWrap/>
              <w:overflowPunct/>
              <w:topLinePunct w:val="0"/>
              <w:autoSpaceDE/>
              <w:autoSpaceDN/>
              <w:bidi w:val="0"/>
              <w:adjustRightInd/>
              <w:snapToGrid/>
              <w:spacing w:line="440" w:lineRule="exact"/>
              <w:ind w:right="0"/>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lang w:val="en-US" w:eastAsia="zh-CN"/>
              </w:rPr>
              <w:t>不提供的不得分</w:t>
            </w:r>
            <w:r>
              <w:rPr>
                <w:rFonts w:hint="eastAsia" w:ascii="仿宋_GB2312" w:hAnsi="仿宋_GB2312" w:eastAsia="仿宋_GB2312" w:cs="仿宋_GB2312"/>
                <w:bCs/>
                <w:color w:val="auto"/>
                <w:sz w:val="28"/>
                <w:szCs w:val="28"/>
              </w:rPr>
              <w:t>。</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0" w:hRule="atLeast"/>
          <w:jc w:val="center"/>
        </w:trPr>
        <w:tc>
          <w:tcPr>
            <w:tcW w:w="102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b/>
                <w:bCs/>
                <w:color w:val="auto"/>
                <w:sz w:val="28"/>
                <w:szCs w:val="28"/>
              </w:rPr>
            </w:pPr>
          </w:p>
        </w:tc>
        <w:tc>
          <w:tcPr>
            <w:tcW w:w="122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b/>
                <w:bCs/>
                <w:color w:val="auto"/>
                <w:sz w:val="28"/>
                <w:szCs w:val="28"/>
              </w:rPr>
            </w:pPr>
          </w:p>
        </w:tc>
        <w:tc>
          <w:tcPr>
            <w:tcW w:w="54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righ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综合效果评定</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按照采购需求，提供各展区详细设计方案</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根据方案的科学性、震撼性、合理性，由磋商小组根据下列情况进行综合评分：</w:t>
            </w:r>
          </w:p>
          <w:p>
            <w:pPr>
              <w:keepNext w:val="0"/>
              <w:keepLines w:val="0"/>
              <w:pageBreakBefore w:val="0"/>
              <w:widowControl/>
              <w:kinsoku/>
              <w:wordWrap/>
              <w:overflowPunct/>
              <w:topLinePunct w:val="0"/>
              <w:autoSpaceDE/>
              <w:autoSpaceDN/>
              <w:bidi w:val="0"/>
              <w:adjustRightInd/>
              <w:snapToGrid/>
              <w:spacing w:line="440" w:lineRule="exact"/>
              <w:ind w:righ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1.设计方案富有创意，效果震撼，综合评价优秀的得的</w:t>
            </w:r>
            <w:r>
              <w:rPr>
                <w:rFonts w:hint="eastAsia" w:ascii="仿宋_GB2312" w:hAnsi="仿宋_GB2312" w:eastAsia="仿宋_GB2312" w:cs="仿宋_GB2312"/>
                <w:color w:val="auto"/>
                <w:sz w:val="28"/>
                <w:szCs w:val="28"/>
                <w:lang w:val="en-US" w:eastAsia="zh-CN"/>
              </w:rPr>
              <w:t>15-20</w:t>
            </w:r>
            <w:r>
              <w:rPr>
                <w:rFonts w:hint="eastAsia" w:ascii="仿宋_GB2312" w:hAnsi="仿宋_GB2312" w:eastAsia="仿宋_GB2312" w:cs="仿宋_GB2312"/>
                <w:color w:val="auto"/>
                <w:sz w:val="28"/>
                <w:szCs w:val="28"/>
              </w:rPr>
              <w:t>分；</w:t>
            </w:r>
          </w:p>
          <w:p>
            <w:pPr>
              <w:keepNext w:val="0"/>
              <w:keepLines w:val="0"/>
              <w:pageBreakBefore w:val="0"/>
              <w:widowControl/>
              <w:kinsoku/>
              <w:wordWrap/>
              <w:overflowPunct/>
              <w:topLinePunct w:val="0"/>
              <w:autoSpaceDE/>
              <w:autoSpaceDN/>
              <w:bidi w:val="0"/>
              <w:adjustRightInd/>
              <w:snapToGrid/>
              <w:spacing w:line="440" w:lineRule="exact"/>
              <w:ind w:righ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2.设计方案创意较好，效果较好，综合评价良好的得的</w:t>
            </w:r>
            <w:r>
              <w:rPr>
                <w:rFonts w:hint="eastAsia" w:ascii="仿宋_GB2312" w:hAnsi="仿宋_GB2312" w:eastAsia="仿宋_GB2312" w:cs="仿宋_GB2312"/>
                <w:color w:val="auto"/>
                <w:sz w:val="28"/>
                <w:szCs w:val="28"/>
                <w:lang w:val="en-US" w:eastAsia="zh-CN"/>
              </w:rPr>
              <w:t>7-14</w:t>
            </w:r>
            <w:r>
              <w:rPr>
                <w:rFonts w:hint="eastAsia" w:ascii="仿宋_GB2312" w:hAnsi="仿宋_GB2312" w:eastAsia="仿宋_GB2312" w:cs="仿宋_GB2312"/>
                <w:color w:val="auto"/>
                <w:sz w:val="28"/>
                <w:szCs w:val="28"/>
              </w:rPr>
              <w:t>分；</w:t>
            </w:r>
          </w:p>
          <w:p>
            <w:pPr>
              <w:keepNext w:val="0"/>
              <w:keepLines w:val="0"/>
              <w:pageBreakBefore w:val="0"/>
              <w:widowControl/>
              <w:kinsoku/>
              <w:wordWrap/>
              <w:overflowPunct/>
              <w:topLinePunct w:val="0"/>
              <w:autoSpaceDE/>
              <w:autoSpaceDN/>
              <w:bidi w:val="0"/>
              <w:adjustRightInd/>
              <w:snapToGrid/>
              <w:spacing w:line="440" w:lineRule="exact"/>
              <w:ind w:righ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3.设计效果一般，综合评价一般的得1-</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分；</w:t>
            </w:r>
          </w:p>
          <w:p>
            <w:pPr>
              <w:keepNext w:val="0"/>
              <w:keepLines w:val="0"/>
              <w:pageBreakBefore w:val="0"/>
              <w:widowControl/>
              <w:kinsoku/>
              <w:wordWrap/>
              <w:overflowPunct/>
              <w:topLinePunct w:val="0"/>
              <w:autoSpaceDE/>
              <w:autoSpaceDN/>
              <w:bidi w:val="0"/>
              <w:adjustRightInd/>
              <w:snapToGrid/>
              <w:spacing w:line="440" w:lineRule="exact"/>
              <w:ind w:righ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4.较差或未提供不得分。</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0" w:hRule="atLeast"/>
          <w:jc w:val="center"/>
        </w:trPr>
        <w:tc>
          <w:tcPr>
            <w:tcW w:w="102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b/>
                <w:bCs/>
                <w:color w:val="auto"/>
                <w:sz w:val="28"/>
                <w:szCs w:val="28"/>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工程</w:t>
            </w:r>
          </w:p>
          <w:p>
            <w:pPr>
              <w:keepNext w:val="0"/>
              <w:keepLines w:val="0"/>
              <w:pageBreakBefore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质量</w:t>
            </w:r>
          </w:p>
          <w:p>
            <w:pPr>
              <w:pStyle w:val="2"/>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color w:val="auto"/>
                <w:sz w:val="28"/>
                <w:szCs w:val="28"/>
                <w:lang w:val="en-US" w:eastAsia="zh-CN"/>
              </w:rPr>
              <w:t>20分</w:t>
            </w:r>
          </w:p>
        </w:tc>
        <w:tc>
          <w:tcPr>
            <w:tcW w:w="54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ind w:righ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投标商应按照采购方要求选用符合标准的用材保证工程质量。</w:t>
            </w:r>
          </w:p>
          <w:p>
            <w:pPr>
              <w:keepNext w:val="0"/>
              <w:keepLines w:val="0"/>
              <w:pageBreakBefore w:val="0"/>
              <w:kinsoku/>
              <w:wordWrap/>
              <w:overflowPunct/>
              <w:topLinePunct w:val="0"/>
              <w:autoSpaceDE/>
              <w:autoSpaceDN/>
              <w:bidi w:val="0"/>
              <w:adjustRightInd/>
              <w:snapToGrid/>
              <w:spacing w:line="440" w:lineRule="exact"/>
              <w:ind w:righ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工程质量保证计划全面细致、用材上乘，承诺工程质量标准高，</w:t>
            </w:r>
            <w:r>
              <w:rPr>
                <w:rFonts w:hint="eastAsia" w:ascii="仿宋_GB2312" w:hAnsi="仿宋_GB2312" w:eastAsia="仿宋_GB2312" w:cs="仿宋_GB2312"/>
                <w:sz w:val="28"/>
                <w:szCs w:val="28"/>
                <w:lang w:eastAsia="zh-CN"/>
              </w:rPr>
              <w:t>提供安全</w:t>
            </w:r>
            <w:r>
              <w:rPr>
                <w:rFonts w:hint="eastAsia" w:ascii="仿宋_GB2312" w:hAnsi="仿宋_GB2312" w:eastAsia="仿宋_GB2312" w:cs="仿宋_GB2312"/>
                <w:sz w:val="28"/>
                <w:szCs w:val="28"/>
              </w:rPr>
              <w:t>责任</w:t>
            </w:r>
            <w:r>
              <w:rPr>
                <w:rFonts w:hint="eastAsia" w:ascii="仿宋_GB2312" w:hAnsi="仿宋_GB2312" w:eastAsia="仿宋_GB2312" w:cs="仿宋_GB2312"/>
                <w:sz w:val="28"/>
                <w:szCs w:val="28"/>
                <w:lang w:eastAsia="zh-CN"/>
              </w:rPr>
              <w:t>保证书</w:t>
            </w:r>
            <w:r>
              <w:rPr>
                <w:rFonts w:hint="eastAsia" w:ascii="仿宋_GB2312" w:hAnsi="仿宋_GB2312" w:eastAsia="仿宋_GB2312" w:cs="仿宋_GB2312"/>
                <w:sz w:val="28"/>
                <w:szCs w:val="28"/>
              </w:rPr>
              <w:t>得15-20分；</w:t>
            </w:r>
          </w:p>
          <w:p>
            <w:pPr>
              <w:keepNext w:val="0"/>
              <w:keepLines w:val="0"/>
              <w:pageBreakBefore w:val="0"/>
              <w:kinsoku/>
              <w:wordWrap/>
              <w:overflowPunct/>
              <w:topLinePunct w:val="0"/>
              <w:autoSpaceDE/>
              <w:autoSpaceDN/>
              <w:bidi w:val="0"/>
              <w:adjustRightInd/>
              <w:snapToGrid/>
              <w:spacing w:line="440" w:lineRule="exact"/>
              <w:ind w:righ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工程质量保证计划比较全面细致、用材较好，承诺工程质量标准高，</w:t>
            </w:r>
            <w:r>
              <w:rPr>
                <w:rFonts w:hint="eastAsia" w:ascii="仿宋_GB2312" w:hAnsi="仿宋_GB2312" w:eastAsia="仿宋_GB2312" w:cs="仿宋_GB2312"/>
                <w:sz w:val="28"/>
                <w:szCs w:val="28"/>
                <w:lang w:eastAsia="zh-CN"/>
              </w:rPr>
              <w:t>提供安全</w:t>
            </w:r>
            <w:r>
              <w:rPr>
                <w:rFonts w:hint="eastAsia" w:ascii="仿宋_GB2312" w:hAnsi="仿宋_GB2312" w:eastAsia="仿宋_GB2312" w:cs="仿宋_GB2312"/>
                <w:sz w:val="28"/>
                <w:szCs w:val="28"/>
              </w:rPr>
              <w:t>责任</w:t>
            </w:r>
            <w:r>
              <w:rPr>
                <w:rFonts w:hint="eastAsia" w:ascii="仿宋_GB2312" w:hAnsi="仿宋_GB2312" w:eastAsia="仿宋_GB2312" w:cs="仿宋_GB2312"/>
                <w:sz w:val="28"/>
                <w:szCs w:val="28"/>
                <w:lang w:eastAsia="zh-CN"/>
              </w:rPr>
              <w:t>保证书</w:t>
            </w:r>
            <w:r>
              <w:rPr>
                <w:rFonts w:hint="eastAsia" w:ascii="仿宋_GB2312" w:hAnsi="仿宋_GB2312" w:eastAsia="仿宋_GB2312" w:cs="仿宋_GB2312"/>
                <w:sz w:val="28"/>
                <w:szCs w:val="28"/>
              </w:rPr>
              <w:t>得7-14分；</w:t>
            </w:r>
          </w:p>
          <w:p>
            <w:pPr>
              <w:keepNext w:val="0"/>
              <w:keepLines w:val="0"/>
              <w:pageBreakBefore w:val="0"/>
              <w:kinsoku/>
              <w:wordWrap/>
              <w:overflowPunct/>
              <w:topLinePunct w:val="0"/>
              <w:autoSpaceDE/>
              <w:autoSpaceDN/>
              <w:bidi w:val="0"/>
              <w:adjustRightInd/>
              <w:snapToGrid/>
              <w:spacing w:line="440" w:lineRule="exact"/>
              <w:ind w:righ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工程质量保证计划基本全面细致、用材符合国标，承诺工程质量标准满足招标文件要求，</w:t>
            </w:r>
            <w:r>
              <w:rPr>
                <w:rFonts w:hint="eastAsia" w:ascii="仿宋_GB2312" w:hAnsi="仿宋_GB2312" w:eastAsia="仿宋_GB2312" w:cs="仿宋_GB2312"/>
                <w:sz w:val="28"/>
                <w:szCs w:val="28"/>
                <w:lang w:eastAsia="zh-CN"/>
              </w:rPr>
              <w:t>提供安全</w:t>
            </w:r>
            <w:r>
              <w:rPr>
                <w:rFonts w:hint="eastAsia" w:ascii="仿宋_GB2312" w:hAnsi="仿宋_GB2312" w:eastAsia="仿宋_GB2312" w:cs="仿宋_GB2312"/>
                <w:sz w:val="28"/>
                <w:szCs w:val="28"/>
              </w:rPr>
              <w:t>责任</w:t>
            </w:r>
            <w:r>
              <w:rPr>
                <w:rFonts w:hint="eastAsia" w:ascii="仿宋_GB2312" w:hAnsi="仿宋_GB2312" w:eastAsia="仿宋_GB2312" w:cs="仿宋_GB2312"/>
                <w:sz w:val="28"/>
                <w:szCs w:val="28"/>
                <w:lang w:eastAsia="zh-CN"/>
              </w:rPr>
              <w:t>保证书</w:t>
            </w:r>
            <w:r>
              <w:rPr>
                <w:rFonts w:hint="eastAsia" w:ascii="仿宋_GB2312" w:hAnsi="仿宋_GB2312" w:eastAsia="仿宋_GB2312" w:cs="仿宋_GB2312"/>
                <w:sz w:val="28"/>
                <w:szCs w:val="28"/>
              </w:rPr>
              <w:t>得1-6分；</w:t>
            </w:r>
          </w:p>
          <w:p>
            <w:pPr>
              <w:keepNext w:val="0"/>
              <w:keepLines w:val="0"/>
              <w:pageBreakBefore w:val="0"/>
              <w:widowControl/>
              <w:kinsoku/>
              <w:wordWrap/>
              <w:overflowPunct/>
              <w:topLinePunct w:val="0"/>
              <w:autoSpaceDE/>
              <w:autoSpaceDN/>
              <w:bidi w:val="0"/>
              <w:adjustRightInd/>
              <w:snapToGrid/>
              <w:spacing w:line="440" w:lineRule="exact"/>
              <w:ind w:right="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工程质量保证计划不全面不细致、用材不符合国标，</w:t>
            </w:r>
            <w:r>
              <w:rPr>
                <w:rFonts w:hint="eastAsia" w:ascii="仿宋_GB2312" w:hAnsi="仿宋_GB2312" w:eastAsia="仿宋_GB2312" w:cs="仿宋_GB2312"/>
                <w:sz w:val="28"/>
                <w:szCs w:val="28"/>
                <w:lang w:eastAsia="zh-CN"/>
              </w:rPr>
              <w:t>不提供安全</w:t>
            </w:r>
            <w:r>
              <w:rPr>
                <w:rFonts w:hint="eastAsia" w:ascii="仿宋_GB2312" w:hAnsi="仿宋_GB2312" w:eastAsia="仿宋_GB2312" w:cs="仿宋_GB2312"/>
                <w:sz w:val="28"/>
                <w:szCs w:val="28"/>
              </w:rPr>
              <w:t>责任</w:t>
            </w:r>
            <w:r>
              <w:rPr>
                <w:rFonts w:hint="eastAsia" w:ascii="仿宋_GB2312" w:hAnsi="仿宋_GB2312" w:eastAsia="仿宋_GB2312" w:cs="仿宋_GB2312"/>
                <w:sz w:val="28"/>
                <w:szCs w:val="28"/>
                <w:lang w:eastAsia="zh-CN"/>
              </w:rPr>
              <w:t>保证书的</w:t>
            </w:r>
            <w:r>
              <w:rPr>
                <w:rFonts w:hint="eastAsia" w:ascii="仿宋_GB2312" w:hAnsi="仿宋_GB2312" w:eastAsia="仿宋_GB2312" w:cs="仿宋_GB2312"/>
                <w:sz w:val="28"/>
                <w:szCs w:val="28"/>
              </w:rPr>
              <w:t>不得分。</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10" w:hRule="atLeast"/>
          <w:jc w:val="center"/>
        </w:trPr>
        <w:tc>
          <w:tcPr>
            <w:tcW w:w="102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b/>
                <w:bCs/>
                <w:color w:val="auto"/>
                <w:sz w:val="28"/>
                <w:szCs w:val="28"/>
              </w:rPr>
            </w:pPr>
          </w:p>
        </w:tc>
        <w:tc>
          <w:tcPr>
            <w:tcW w:w="12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供应商</w:t>
            </w:r>
          </w:p>
          <w:p>
            <w:pPr>
              <w:keepNext w:val="0"/>
              <w:keepLines w:val="0"/>
              <w:pageBreakBefore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资质</w:t>
            </w:r>
          </w:p>
          <w:p>
            <w:pPr>
              <w:keepNext w:val="0"/>
              <w:keepLines w:val="0"/>
              <w:pageBreakBefore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资信</w:t>
            </w:r>
          </w:p>
          <w:p>
            <w:pPr>
              <w:pStyle w:val="2"/>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color w:val="auto"/>
                <w:sz w:val="28"/>
                <w:szCs w:val="28"/>
                <w:lang w:val="en-US" w:eastAsia="zh-CN"/>
              </w:rPr>
              <w:t>20分</w:t>
            </w:r>
          </w:p>
        </w:tc>
        <w:tc>
          <w:tcPr>
            <w:tcW w:w="54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ind w:right="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1.供应商具有有效期内的展览陈列工程设计与施工一体化资质一级证书（中国展览馆协会颁发）的，得2分；  </w:t>
            </w:r>
          </w:p>
          <w:p>
            <w:pPr>
              <w:keepNext w:val="0"/>
              <w:keepLines w:val="0"/>
              <w:pageBreakBefore w:val="0"/>
              <w:kinsoku/>
              <w:wordWrap/>
              <w:overflowPunct/>
              <w:topLinePunct w:val="0"/>
              <w:autoSpaceDE/>
              <w:autoSpaceDN/>
              <w:bidi w:val="0"/>
              <w:adjustRightInd/>
              <w:snapToGrid/>
              <w:spacing w:line="440" w:lineRule="exact"/>
              <w:ind w:right="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2.供应商具有会务会展企业服务能力证书（乙级及以上）的，得2分； </w:t>
            </w:r>
          </w:p>
          <w:p>
            <w:pPr>
              <w:keepNext w:val="0"/>
              <w:keepLines w:val="0"/>
              <w:pageBreakBefore w:val="0"/>
              <w:kinsoku/>
              <w:wordWrap/>
              <w:overflowPunct/>
              <w:topLinePunct w:val="0"/>
              <w:autoSpaceDE/>
              <w:autoSpaceDN/>
              <w:bidi w:val="0"/>
              <w:adjustRightInd/>
              <w:snapToGrid/>
              <w:spacing w:line="440" w:lineRule="exact"/>
              <w:ind w:right="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3.供应商具有建筑装饰装修工程专业承包二级及以上资质证书（安徽省住房和城乡建设厅颁发）的，得2分。</w:t>
            </w:r>
          </w:p>
          <w:p>
            <w:pPr>
              <w:keepNext w:val="0"/>
              <w:keepLines w:val="0"/>
              <w:pageBreakBefore w:val="0"/>
              <w:kinsoku/>
              <w:wordWrap/>
              <w:overflowPunct/>
              <w:topLinePunct w:val="0"/>
              <w:autoSpaceDE/>
              <w:autoSpaceDN/>
              <w:bidi w:val="0"/>
              <w:adjustRightInd/>
              <w:snapToGrid/>
              <w:spacing w:line="440" w:lineRule="exact"/>
              <w:ind w:right="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4.环境管理体系、职业健康安全管理体系、质量管理体系证书的，每提供一个得1分，满分3分。</w:t>
            </w:r>
          </w:p>
          <w:p>
            <w:pPr>
              <w:keepNext w:val="0"/>
              <w:keepLines w:val="0"/>
              <w:pageBreakBefore w:val="0"/>
              <w:kinsoku/>
              <w:wordWrap/>
              <w:overflowPunct/>
              <w:topLinePunct w:val="0"/>
              <w:autoSpaceDE/>
              <w:autoSpaceDN/>
              <w:bidi w:val="0"/>
              <w:adjustRightInd/>
              <w:snapToGrid/>
              <w:spacing w:line="440" w:lineRule="exact"/>
              <w:ind w:right="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注：上述资质需提供复印件，须加盖投标人公章，否则不得分。供应商中标后需提供原件备查。</w:t>
            </w:r>
          </w:p>
          <w:p>
            <w:pPr>
              <w:keepNext w:val="0"/>
              <w:keepLines w:val="0"/>
              <w:pageBreakBefore w:val="0"/>
              <w:kinsoku/>
              <w:wordWrap/>
              <w:overflowPunct/>
              <w:topLinePunct w:val="0"/>
              <w:autoSpaceDE/>
              <w:autoSpaceDN/>
              <w:bidi w:val="0"/>
              <w:adjustRightInd/>
              <w:snapToGrid/>
              <w:spacing w:line="440" w:lineRule="exact"/>
              <w:ind w:right="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供应商提供现场保障团队成员具有以下证书的：</w:t>
            </w:r>
          </w:p>
          <w:p>
            <w:pPr>
              <w:keepNext w:val="0"/>
              <w:keepLines w:val="0"/>
              <w:pageBreakBefore w:val="0"/>
              <w:kinsoku/>
              <w:wordWrap/>
              <w:overflowPunct/>
              <w:topLinePunct w:val="0"/>
              <w:autoSpaceDE/>
              <w:autoSpaceDN/>
              <w:bidi w:val="0"/>
              <w:adjustRightInd/>
              <w:snapToGrid/>
              <w:spacing w:line="440" w:lineRule="exact"/>
              <w:ind w:right="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结构工程师（中级）、会展业职业经理人（中级）、二级建造师、电气工程师（中级）、施工员、高级展览设计师、展示设计师、高级展陈设计师、高级会展设计师以上人员证书每提供一种得1分，此项满分9分。</w:t>
            </w:r>
          </w:p>
          <w:p>
            <w:pPr>
              <w:keepNext w:val="0"/>
              <w:keepLines w:val="0"/>
              <w:pageBreakBefore w:val="0"/>
              <w:kinsoku/>
              <w:wordWrap/>
              <w:overflowPunct/>
              <w:topLinePunct w:val="0"/>
              <w:autoSpaceDE/>
              <w:autoSpaceDN/>
              <w:bidi w:val="0"/>
              <w:adjustRightInd/>
              <w:snapToGrid/>
              <w:spacing w:line="440" w:lineRule="exact"/>
              <w:ind w:right="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注：人员配备名单（格式自拟）；人员相应证书的扫描件并加盖公章（中标后，中标方需提供原件备查）； 供应商为上述人员缴纳的近三个月内任意一个月的社保证明材料并加盖公章；一人一证，同一人员具有多项证书的，同一种证书，不累计得分。</w:t>
            </w:r>
          </w:p>
          <w:p>
            <w:pPr>
              <w:keepNext w:val="0"/>
              <w:keepLines w:val="0"/>
              <w:pageBreakBefore w:val="0"/>
              <w:kinsoku/>
              <w:wordWrap/>
              <w:overflowPunct/>
              <w:topLinePunct w:val="0"/>
              <w:autoSpaceDE/>
              <w:autoSpaceDN/>
              <w:bidi w:val="0"/>
              <w:adjustRightInd/>
              <w:snapToGrid/>
              <w:spacing w:line="440" w:lineRule="exact"/>
              <w:ind w:righ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1.自2019年1月1日起（以服务合同签订时间为准），供应商具有地市级及以上党政机关委托的展台设计施工项目。投标人</w:t>
            </w:r>
            <w:r>
              <w:rPr>
                <w:rFonts w:hint="eastAsia" w:ascii="仿宋_GB2312" w:hAnsi="仿宋_GB2312" w:eastAsia="仿宋_GB2312" w:cs="仿宋_GB2312"/>
                <w:sz w:val="28"/>
                <w:szCs w:val="28"/>
                <w:lang w:eastAsia="zh-CN"/>
              </w:rPr>
              <w:t>每提供一个</w:t>
            </w:r>
            <w:r>
              <w:rPr>
                <w:rFonts w:hint="eastAsia" w:ascii="仿宋_GB2312" w:hAnsi="仿宋_GB2312" w:eastAsia="仿宋_GB2312" w:cs="仿宋_GB2312"/>
                <w:sz w:val="28"/>
                <w:szCs w:val="28"/>
              </w:rPr>
              <w:t>承担</w:t>
            </w:r>
            <w:r>
              <w:rPr>
                <w:rFonts w:hint="eastAsia" w:ascii="仿宋_GB2312" w:hAnsi="仿宋_GB2312" w:eastAsia="仿宋_GB2312" w:cs="仿宋_GB2312"/>
                <w:sz w:val="28"/>
                <w:szCs w:val="28"/>
                <w:lang w:eastAsia="zh-CN"/>
              </w:rPr>
              <w:t>过</w:t>
            </w:r>
            <w:r>
              <w:rPr>
                <w:rFonts w:hint="eastAsia" w:ascii="仿宋_GB2312" w:hAnsi="仿宋_GB2312" w:eastAsia="仿宋_GB2312" w:cs="仿宋_GB2312"/>
                <w:sz w:val="28"/>
                <w:szCs w:val="28"/>
              </w:rPr>
              <w:t>20万元及以上类似设计布展工作业绩的得</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分</w:t>
            </w:r>
            <w:r>
              <w:rPr>
                <w:rFonts w:hint="eastAsia" w:ascii="仿宋_GB2312" w:hAnsi="仿宋_GB2312" w:eastAsia="仿宋_GB2312" w:cs="仿宋_GB2312"/>
                <w:sz w:val="28"/>
                <w:szCs w:val="28"/>
                <w:lang w:eastAsia="zh-CN"/>
              </w:rPr>
              <w:t>，最多的</w:t>
            </w:r>
            <w:r>
              <w:rPr>
                <w:rFonts w:hint="eastAsia" w:ascii="仿宋_GB2312" w:hAnsi="仿宋_GB2312" w:eastAsia="仿宋_GB2312" w:cs="仿宋_GB2312"/>
                <w:sz w:val="28"/>
                <w:szCs w:val="28"/>
                <w:lang w:val="en-US" w:eastAsia="zh-CN"/>
              </w:rPr>
              <w:t>2分。</w:t>
            </w:r>
          </w:p>
          <w:p>
            <w:pPr>
              <w:keepNext w:val="0"/>
              <w:keepLines w:val="0"/>
              <w:pageBreakBefore w:val="0"/>
              <w:widowControl/>
              <w:kinsoku/>
              <w:wordWrap/>
              <w:overflowPunct/>
              <w:topLinePunct w:val="0"/>
              <w:autoSpaceDE/>
              <w:autoSpaceDN/>
              <w:bidi w:val="0"/>
              <w:adjustRightInd/>
              <w:snapToGrid/>
              <w:spacing w:line="440" w:lineRule="exact"/>
              <w:ind w:righ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sz w:val="28"/>
                <w:szCs w:val="28"/>
              </w:rPr>
              <w:t>注：须提供上述业绩合同扫描件或影印件，同一业绩不重复计分，如合同中无法体现签订时间、展会名称、项目类型、项目金额等明细，另附业主证明等相关材料明确说明，否则评审组不予认可。</w:t>
            </w:r>
          </w:p>
        </w:tc>
        <w:tc>
          <w:tcPr>
            <w:tcW w:w="10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3" w:hRule="atLeast"/>
          <w:jc w:val="center"/>
        </w:trPr>
        <w:tc>
          <w:tcPr>
            <w:tcW w:w="1021"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价格分</w:t>
            </w:r>
          </w:p>
          <w:p>
            <w:pPr>
              <w:keepNext w:val="0"/>
              <w:keepLines w:val="0"/>
              <w:pageBreakBefore w:val="0"/>
              <w:kinsoku/>
              <w:wordWrap/>
              <w:overflowPunct/>
              <w:topLinePunct w:val="0"/>
              <w:autoSpaceDE/>
              <w:autoSpaceDN/>
              <w:bidi w:val="0"/>
              <w:adjustRightInd/>
              <w:snapToGrid/>
              <w:spacing w:line="440" w:lineRule="exact"/>
              <w:ind w:right="0"/>
              <w:jc w:val="center"/>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u w:val="none"/>
                <w:lang w:val="en-US" w:eastAsia="zh-CN"/>
              </w:rPr>
              <w:t>10</w:t>
            </w:r>
            <w:r>
              <w:rPr>
                <w:rFonts w:hint="eastAsia" w:ascii="仿宋_GB2312" w:hAnsi="仿宋_GB2312" w:eastAsia="仿宋_GB2312" w:cs="仿宋_GB2312"/>
                <w:b/>
                <w:bCs/>
                <w:color w:val="auto"/>
                <w:sz w:val="28"/>
                <w:szCs w:val="28"/>
              </w:rPr>
              <w:t>分</w:t>
            </w:r>
          </w:p>
        </w:tc>
        <w:tc>
          <w:tcPr>
            <w:tcW w:w="774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right="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价格分统一采用低价优先法，即满足招标文件要求且</w:t>
            </w:r>
            <w:r>
              <w:rPr>
                <w:rFonts w:hint="eastAsia" w:ascii="仿宋_GB2312" w:hAnsi="仿宋_GB2312" w:eastAsia="仿宋_GB2312" w:cs="仿宋_GB2312"/>
                <w:color w:val="auto"/>
                <w:sz w:val="28"/>
                <w:szCs w:val="28"/>
                <w:lang w:eastAsia="zh-CN"/>
              </w:rPr>
              <w:t>最终报价</w:t>
            </w:r>
            <w:r>
              <w:rPr>
                <w:rFonts w:hint="eastAsia" w:ascii="仿宋_GB2312" w:hAnsi="仿宋_GB2312" w:eastAsia="仿宋_GB2312" w:cs="仿宋_GB2312"/>
                <w:color w:val="auto"/>
                <w:sz w:val="28"/>
                <w:szCs w:val="28"/>
              </w:rPr>
              <w:t>最低的</w:t>
            </w:r>
            <w:r>
              <w:rPr>
                <w:rFonts w:hint="eastAsia" w:ascii="仿宋_GB2312" w:hAnsi="仿宋_GB2312" w:eastAsia="仿宋_GB2312" w:cs="仿宋_GB2312"/>
                <w:color w:val="auto"/>
                <w:sz w:val="28"/>
                <w:szCs w:val="28"/>
                <w:lang w:eastAsia="zh-CN"/>
              </w:rPr>
              <w:t>价格作</w:t>
            </w:r>
            <w:r>
              <w:rPr>
                <w:rFonts w:hint="eastAsia" w:ascii="仿宋_GB2312" w:hAnsi="仿宋_GB2312" w:eastAsia="仿宋_GB2312" w:cs="仿宋_GB2312"/>
                <w:color w:val="auto"/>
                <w:sz w:val="28"/>
                <w:szCs w:val="28"/>
              </w:rPr>
              <w:t>为评标基准价，其价格分为满分</w:t>
            </w:r>
            <w:r>
              <w:rPr>
                <w:rFonts w:hint="eastAsia" w:ascii="仿宋_GB2312" w:hAnsi="仿宋_GB2312" w:eastAsia="仿宋_GB2312" w:cs="仿宋_GB2312"/>
                <w:color w:val="auto"/>
                <w:sz w:val="28"/>
                <w:szCs w:val="28"/>
                <w:u w:val="single"/>
                <w:lang w:val="en-US" w:eastAsia="zh-CN"/>
              </w:rPr>
              <w:t>10</w:t>
            </w:r>
            <w:r>
              <w:rPr>
                <w:rFonts w:hint="eastAsia" w:ascii="仿宋_GB2312" w:hAnsi="仿宋_GB2312" w:eastAsia="仿宋_GB2312" w:cs="仿宋_GB2312"/>
                <w:color w:val="auto"/>
                <w:sz w:val="28"/>
                <w:szCs w:val="28"/>
              </w:rPr>
              <w:t>分。其他</w:t>
            </w:r>
            <w:r>
              <w:rPr>
                <w:rFonts w:hint="eastAsia" w:ascii="仿宋_GB2312" w:hAnsi="仿宋_GB2312" w:eastAsia="仿宋_GB2312" w:cs="仿宋_GB2312"/>
                <w:color w:val="auto"/>
                <w:sz w:val="28"/>
                <w:szCs w:val="28"/>
                <w:lang w:eastAsia="zh-CN"/>
              </w:rPr>
              <w:t>磋商</w:t>
            </w:r>
            <w:r>
              <w:rPr>
                <w:rFonts w:hint="eastAsia" w:ascii="仿宋_GB2312" w:hAnsi="仿宋_GB2312" w:eastAsia="仿宋_GB2312" w:cs="仿宋_GB2312"/>
                <w:color w:val="auto"/>
                <w:sz w:val="28"/>
                <w:szCs w:val="28"/>
              </w:rPr>
              <w:t>供应商的价格分统一按照下列公式计算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四舍五入保留至小数点后两位数</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pPr>
              <w:keepNext w:val="0"/>
              <w:keepLines w:val="0"/>
              <w:pageBreakBefore w:val="0"/>
              <w:kinsoku/>
              <w:wordWrap/>
              <w:overflowPunct/>
              <w:topLinePunct w:val="0"/>
              <w:autoSpaceDE/>
              <w:autoSpaceDN/>
              <w:bidi w:val="0"/>
              <w:adjustRightInd/>
              <w:snapToGrid/>
              <w:spacing w:line="440" w:lineRule="exact"/>
              <w:ind w:right="0"/>
              <w:textAlignment w:val="auto"/>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color w:val="auto"/>
                <w:sz w:val="28"/>
                <w:szCs w:val="28"/>
                <w:lang w:eastAsia="zh-CN"/>
              </w:rPr>
              <w:t>磋商</w:t>
            </w:r>
            <w:r>
              <w:rPr>
                <w:rFonts w:hint="eastAsia" w:ascii="仿宋_GB2312" w:hAnsi="仿宋_GB2312" w:eastAsia="仿宋_GB2312" w:cs="仿宋_GB2312"/>
                <w:color w:val="auto"/>
                <w:sz w:val="28"/>
                <w:szCs w:val="28"/>
              </w:rPr>
              <w:t>报价得分＝（评标基准价/</w:t>
            </w:r>
            <w:r>
              <w:rPr>
                <w:rFonts w:hint="eastAsia" w:ascii="仿宋_GB2312" w:hAnsi="仿宋_GB2312" w:eastAsia="仿宋_GB2312" w:cs="仿宋_GB2312"/>
                <w:color w:val="auto"/>
                <w:sz w:val="28"/>
                <w:szCs w:val="28"/>
                <w:lang w:eastAsia="zh-CN"/>
              </w:rPr>
              <w:t>磋商</w:t>
            </w:r>
            <w:r>
              <w:rPr>
                <w:rFonts w:hint="eastAsia" w:ascii="仿宋_GB2312" w:hAnsi="仿宋_GB2312" w:eastAsia="仿宋_GB2312" w:cs="仿宋_GB2312"/>
                <w:color w:val="auto"/>
                <w:sz w:val="28"/>
                <w:szCs w:val="28"/>
              </w:rPr>
              <w:t>报价）×</w:t>
            </w:r>
            <w:r>
              <w:rPr>
                <w:rFonts w:hint="eastAsia" w:ascii="仿宋_GB2312" w:hAnsi="仿宋_GB2312" w:eastAsia="仿宋_GB2312" w:cs="仿宋_GB2312"/>
                <w:color w:val="auto"/>
                <w:sz w:val="28"/>
                <w:szCs w:val="28"/>
                <w:u w:val="single"/>
                <w:lang w:val="en-US" w:eastAsia="zh-CN"/>
              </w:rPr>
              <w:t>10</w:t>
            </w:r>
            <w:r>
              <w:rPr>
                <w:rFonts w:hint="eastAsia" w:ascii="仿宋_GB2312" w:hAnsi="仿宋_GB2312" w:eastAsia="仿宋_GB2312" w:cs="仿宋_GB2312"/>
                <w:color w:val="auto"/>
                <w:sz w:val="28"/>
                <w:szCs w:val="28"/>
              </w:rPr>
              <w:t>％×100</w:t>
            </w:r>
          </w:p>
        </w:tc>
      </w:tr>
    </w:tbl>
    <w:p>
      <w:pPr>
        <w:pStyle w:val="3"/>
        <w:keepNext w:val="0"/>
        <w:keepLines w:val="0"/>
        <w:pageBreakBefore w:val="0"/>
        <w:widowControl w:val="0"/>
        <w:kinsoku/>
        <w:wordWrap/>
        <w:overflowPunct/>
        <w:topLinePunct w:val="0"/>
        <w:autoSpaceDE/>
        <w:autoSpaceDN/>
        <w:bidi w:val="0"/>
        <w:adjustRightInd/>
        <w:snapToGrid/>
        <w:spacing w:line="620" w:lineRule="exact"/>
        <w:ind w:right="0" w:firstLine="640" w:firstLineChars="200"/>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3</w:t>
      </w:r>
      <w:r>
        <w:rPr>
          <w:rFonts w:hint="eastAsia" w:ascii="仿宋_GB2312" w:hAnsi="仿宋_GB2312" w:cs="仿宋_GB2312"/>
          <w:bCs/>
          <w:color w:val="auto"/>
          <w:kern w:val="2"/>
          <w:sz w:val="32"/>
          <w:szCs w:val="32"/>
          <w:lang w:val="en-US" w:eastAsia="zh-CN" w:bidi="ar-SA"/>
        </w:rPr>
        <w:t>.</w:t>
      </w:r>
      <w:r>
        <w:rPr>
          <w:rFonts w:hint="eastAsia" w:ascii="仿宋_GB2312" w:hAnsi="仿宋_GB2312" w:eastAsia="仿宋_GB2312" w:cs="仿宋_GB2312"/>
          <w:bCs/>
          <w:color w:val="auto"/>
          <w:kern w:val="2"/>
          <w:sz w:val="32"/>
          <w:szCs w:val="32"/>
          <w:lang w:val="en-US" w:eastAsia="zh-CN" w:bidi="ar-SA"/>
        </w:rPr>
        <w:t>得分汇总</w:t>
      </w:r>
    </w:p>
    <w:p>
      <w:pPr>
        <w:pStyle w:val="3"/>
        <w:keepNext w:val="0"/>
        <w:keepLines w:val="0"/>
        <w:pageBreakBefore w:val="0"/>
        <w:widowControl w:val="0"/>
        <w:kinsoku/>
        <w:wordWrap/>
        <w:overflowPunct/>
        <w:topLinePunct w:val="0"/>
        <w:autoSpaceDE/>
        <w:autoSpaceDN/>
        <w:bidi w:val="0"/>
        <w:adjustRightInd/>
        <w:snapToGrid/>
        <w:spacing w:line="620" w:lineRule="exact"/>
        <w:ind w:right="0" w:firstLine="640" w:firstLineChars="200"/>
        <w:textAlignment w:val="auto"/>
        <w:rPr>
          <w:rFonts w:hint="eastAsia"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（1）将每个有效磋商供应商的技术标分之和加上根据上述标准计算出的价格分，即为该磋商供应商的综合总得分。</w:t>
      </w:r>
    </w:p>
    <w:p>
      <w:pPr>
        <w:keepNext w:val="0"/>
        <w:keepLines w:val="0"/>
        <w:pageBreakBefore w:val="0"/>
        <w:widowControl w:val="0"/>
        <w:kinsoku/>
        <w:wordWrap/>
        <w:overflowPunct/>
        <w:topLinePunct w:val="0"/>
        <w:autoSpaceDE/>
        <w:autoSpaceDN/>
        <w:bidi w:val="0"/>
        <w:adjustRightInd/>
        <w:snapToGrid/>
        <w:spacing w:line="620" w:lineRule="exact"/>
        <w:ind w:right="0" w:firstLine="640" w:firstLineChars="200"/>
        <w:jc w:val="left"/>
        <w:textAlignment w:val="auto"/>
        <w:rPr>
          <w:rFonts w:hint="default" w:ascii="宋体" w:hAnsi="宋体" w:eastAsia="宋体" w:cs="宋体"/>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（2）按照有效磋商供应商综合总得分由高到低依次排出成交供应商及成交候选供应商。</w:t>
      </w:r>
      <w:bookmarkStart w:id="0" w:name="_Toc31228"/>
      <w:r>
        <w:rPr>
          <w:rFonts w:hint="eastAsia" w:ascii="仿宋_GB2312" w:hAnsi="仿宋_GB2312" w:eastAsia="仿宋_GB2312" w:cs="仿宋_GB2312"/>
          <w:bCs/>
          <w:color w:val="auto"/>
          <w:kern w:val="2"/>
          <w:sz w:val="32"/>
          <w:szCs w:val="32"/>
          <w:lang w:val="en-US" w:eastAsia="zh-CN" w:bidi="ar-SA"/>
        </w:rPr>
        <w:t xml:space="preserve"> </w:t>
      </w:r>
      <w:bookmarkEnd w:id="0"/>
    </w:p>
    <w:p/>
    <w:sectPr>
      <w:pgSz w:w="11906" w:h="16838"/>
      <w:pgMar w:top="1701" w:right="1474" w:bottom="147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Times New Roman"/>
    <w:panose1 w:val="020B0604020202020204"/>
    <w:charset w:val="00"/>
    <w:family w:val="swiss"/>
    <w:pitch w:val="default"/>
    <w:sig w:usb0="E0002AFF" w:usb1="C0007843" w:usb2="00000009" w:usb3="00000000" w:csb0="400001FF" w:csb1="FFFF0000"/>
  </w:font>
  <w:font w:name="黑体">
    <w:altName w:val="方正黑体_GBK"/>
    <w:panose1 w:val="02010609060101010101"/>
    <w:charset w:val="00"/>
    <w:family w:val="auto"/>
    <w:pitch w:val="default"/>
    <w:sig w:usb0="800002BF" w:usb1="38CF7CFA" w:usb2="00000016" w:usb3="00000000" w:csb0="00040001" w:csb1="00000000"/>
  </w:font>
  <w:font w:name="仿宋_GB2312">
    <w:altName w:val="方正仿宋_GBK"/>
    <w:panose1 w:val="02010609030101010101"/>
    <w:charset w:val="00"/>
    <w:family w:val="auto"/>
    <w:pitch w:val="default"/>
    <w:sig w:usb0="00000000" w:usb1="00000000" w:usb2="00000000" w:usb3="00000000" w:csb0="00040000" w:csb1="00000000"/>
  </w:font>
  <w:font w:name="楷体_GB2312">
    <w:altName w:val="方正楷体_GBK"/>
    <w:panose1 w:val="02010609030101010101"/>
    <w:charset w:val="00"/>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186EB7"/>
    <w:multiLevelType w:val="singleLevel"/>
    <w:tmpl w:val="37186EB7"/>
    <w:lvl w:ilvl="0" w:tentative="0">
      <w:start w:val="1"/>
      <w:numFmt w:val="decimal"/>
      <w:suff w:val="space"/>
      <w:lvlText w:val="%1."/>
      <w:lvlJc w:val="left"/>
    </w:lvl>
  </w:abstractNum>
  <w:abstractNum w:abstractNumId="1">
    <w:nsid w:val="5F586CF5"/>
    <w:multiLevelType w:val="singleLevel"/>
    <w:tmpl w:val="5F586CF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8F53205"/>
    <w:rsid w:val="6E4FB381"/>
    <w:rsid w:val="D8F532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2"/>
    <w:basedOn w:val="1"/>
    <w:next w:val="1"/>
    <w:qFormat/>
    <w:uiPriority w:val="0"/>
    <w:pPr>
      <w:keepNext/>
      <w:keepLines/>
      <w:spacing w:before="260" w:beforeLines="0" w:after="260" w:afterLines="0" w:line="413" w:lineRule="auto"/>
      <w:outlineLvl w:val="1"/>
    </w:pPr>
    <w:rPr>
      <w:rFonts w:ascii="Arial" w:hAnsi="Arial" w:eastAsia="黑体"/>
      <w:b/>
      <w:bCs/>
      <w:kern w:val="0"/>
      <w:sz w:val="32"/>
      <w:szCs w:val="32"/>
    </w:rPr>
  </w:style>
  <w:style w:type="character" w:default="1" w:styleId="8">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2">
    <w:name w:val="Body Text First Indent 2"/>
    <w:basedOn w:val="3"/>
    <w:next w:val="5"/>
    <w:qFormat/>
    <w:uiPriority w:val="0"/>
    <w:pPr>
      <w:spacing w:line="360" w:lineRule="auto"/>
      <w:ind w:firstLine="200"/>
    </w:pPr>
    <w:rPr>
      <w:rFonts w:ascii="宋体" w:hAnsi="Arial" w:eastAsia="宋体"/>
      <w:sz w:val="21"/>
      <w:szCs w:val="20"/>
    </w:rPr>
  </w:style>
  <w:style w:type="paragraph" w:styleId="3">
    <w:name w:val="Body Text Indent"/>
    <w:basedOn w:val="1"/>
    <w:next w:val="4"/>
    <w:qFormat/>
    <w:uiPriority w:val="0"/>
    <w:pPr>
      <w:ind w:firstLine="645"/>
    </w:pPr>
    <w:rPr>
      <w:rFonts w:ascii="Arial" w:hAnsi="Arial" w:eastAsia="仿宋_GB2312"/>
      <w:sz w:val="28"/>
    </w:rPr>
  </w:style>
  <w:style w:type="paragraph" w:styleId="4">
    <w:name w:val="envelope return"/>
    <w:basedOn w:val="1"/>
    <w:qFormat/>
    <w:uiPriority w:val="0"/>
    <w:pPr>
      <w:snapToGrid w:val="0"/>
    </w:pPr>
    <w:rPr>
      <w:rFonts w:ascii="Arial" w:hAnsi="Arial" w:eastAsia="宋体" w:cs="Times New Roman"/>
      <w:sz w:val="32"/>
    </w:rPr>
  </w:style>
  <w:style w:type="paragraph" w:styleId="5">
    <w:name w:val="List"/>
    <w:basedOn w:val="1"/>
    <w:qFormat/>
    <w:uiPriority w:val="0"/>
    <w:pPr>
      <w:ind w:left="420" w:hanging="420"/>
    </w:pPr>
    <w:rPr>
      <w:rFonts w:ascii="Arial" w:hAnsi="Arial" w:eastAsia="楷体_GB2312"/>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2022-10-14T19:25:00Z</dcterms:created>
  <dc:creator>administrator</dc:creator>
  <cp:lastModifiedBy>administrator</cp:lastModifiedBy>
  <dcterms:modified xsi:type="dcterms:W3CDTF">2022-10-14T11:26:51Z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