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pacing w:line="600" w:lineRule="exact"/>
        <w:ind w:right="42" w:rightChars="20" w:firstLine="423" w:firstLineChars="55"/>
        <w:jc w:val="distribute"/>
        <w:rPr>
          <w:rFonts w:ascii="Times New Roman" w:hAnsi="Times New Roman" w:eastAsia="方正小标宋简体"/>
          <w:color w:val="FF0000"/>
          <w:w w:val="55"/>
          <w:sz w:val="140"/>
          <w:szCs w:val="140"/>
        </w:rPr>
      </w:pPr>
    </w:p>
    <w:p>
      <w:pPr>
        <w:spacing w:line="600" w:lineRule="exact"/>
        <w:ind w:left="105" w:leftChars="50" w:right="1760" w:rightChars="838" w:firstLine="4" w:firstLineChars="1"/>
        <w:jc w:val="distribute"/>
        <w:rPr>
          <w:rFonts w:ascii="Times New Roman" w:hAnsi="Times New Roman" w:eastAsia="方正小标宋简体"/>
          <w:color w:val="FFFFFF" w:themeColor="background1"/>
          <w:w w:val="90"/>
          <w:sz w:val="48"/>
          <w:szCs w:val="48"/>
          <w14:textFill>
            <w14:solidFill>
              <w14:schemeClr w14:val="bg1"/>
            </w14:solidFill>
          </w14:textFill>
        </w:rPr>
      </w:pPr>
      <w:r>
        <w:rPr>
          <w:rFonts w:ascii="Times New Roman" w:hAnsi="Times New Roman" w:eastAsia="方正小标宋简体"/>
          <w:color w:val="FFFFFF" w:themeColor="background1"/>
          <w:w w:val="90"/>
          <w:sz w:val="48"/>
          <w:szCs w:val="48"/>
          <w14:textFill>
            <w14:solidFill>
              <w14:schemeClr w14:val="bg1"/>
            </w14:solidFill>
          </w14:textFill>
        </w:rPr>
        <w:t>安徽省农业农村厅</w:t>
      </w:r>
    </w:p>
    <w:p>
      <w:pPr>
        <w:spacing w:line="600" w:lineRule="exact"/>
        <w:ind w:left="105" w:leftChars="50" w:right="1760" w:rightChars="838" w:firstLine="4" w:firstLineChars="1"/>
        <w:jc w:val="distribute"/>
        <w:rPr>
          <w:rFonts w:ascii="Times New Roman" w:hAnsi="Times New Roman" w:eastAsia="方正小标宋简体"/>
          <w:color w:val="FFFFFF" w:themeColor="background1"/>
          <w:w w:val="90"/>
          <w:sz w:val="48"/>
          <w:szCs w:val="48"/>
          <w14:textFill>
            <w14:solidFill>
              <w14:schemeClr w14:val="bg1"/>
            </w14:solidFill>
          </w14:textFill>
        </w:rPr>
      </w:pPr>
      <w:r>
        <w:rPr>
          <w:rFonts w:ascii="Times New Roman" w:hAnsi="Times New Roman" w:eastAsia="方正小标宋简体"/>
          <w:color w:val="FFFFFF" w:themeColor="background1"/>
          <w:w w:val="90"/>
          <w:sz w:val="48"/>
          <w:szCs w:val="48"/>
          <w14:textFill>
            <w14:solidFill>
              <w14:schemeClr w14:val="bg1"/>
            </w14:solidFill>
          </w14:textFill>
        </w:rPr>
        <w:t>安徽省发展和改革委员会</w:t>
      </w:r>
    </w:p>
    <w:p>
      <w:pPr>
        <w:spacing w:line="600" w:lineRule="exact"/>
        <w:ind w:left="105" w:leftChars="50" w:right="1760" w:rightChars="838" w:firstLine="4" w:firstLineChars="1"/>
        <w:jc w:val="distribute"/>
        <w:rPr>
          <w:rFonts w:ascii="Times New Roman" w:hAnsi="Times New Roman" w:eastAsia="方正小标宋简体"/>
          <w:color w:val="FFFFFF" w:themeColor="background1"/>
          <w:w w:val="90"/>
          <w:sz w:val="48"/>
          <w:szCs w:val="48"/>
          <w14:textFill>
            <w14:solidFill>
              <w14:schemeClr w14:val="bg1"/>
            </w14:solidFill>
          </w14:textFill>
        </w:rPr>
      </w:pPr>
      <w:r>
        <w:rPr>
          <w:rFonts w:ascii="Times New Roman" w:hAnsi="Times New Roman" w:eastAsia="方正小标宋简体"/>
          <w:color w:val="FFFFFF" w:themeColor="background1"/>
          <w:w w:val="90"/>
          <w:sz w:val="48"/>
          <w:szCs w:val="48"/>
          <w14:textFill>
            <w14:solidFill>
              <w14:schemeClr w14:val="bg1"/>
            </w14:solidFill>
          </w14:textFill>
        </w:rPr>
        <w:t>安徽省财政厅</w:t>
      </w:r>
    </w:p>
    <w:p>
      <w:pPr>
        <w:spacing w:line="600" w:lineRule="exact"/>
        <w:ind w:left="105" w:leftChars="50" w:right="1760" w:rightChars="838" w:firstLine="4" w:firstLineChars="1"/>
        <w:jc w:val="distribute"/>
        <w:rPr>
          <w:rFonts w:ascii="Times New Roman" w:hAnsi="Times New Roman" w:eastAsia="方正小标宋简体"/>
          <w:color w:val="FFFFFF" w:themeColor="background1"/>
          <w:w w:val="90"/>
          <w:sz w:val="48"/>
          <w:szCs w:val="48"/>
          <w14:textFill>
            <w14:solidFill>
              <w14:schemeClr w14:val="bg1"/>
            </w14:solidFill>
          </w14:textFill>
        </w:rPr>
      </w:pPr>
      <w:r>
        <w:rPr>
          <w:rFonts w:ascii="Times New Roman" w:hAnsi="Times New Roman" w:eastAsia="方正小标宋简体"/>
          <w:color w:val="FFFFFF" w:themeColor="background1"/>
          <w:w w:val="90"/>
          <w:sz w:val="48"/>
          <w:szCs w:val="48"/>
          <w14:textFill>
            <w14:solidFill>
              <w14:schemeClr w14:val="bg1"/>
            </w14:solidFill>
          </w14:textFill>
        </w:rPr>
        <mc:AlternateContent>
          <mc:Choice Requires="wps">
            <w:drawing>
              <wp:anchor distT="0" distB="0" distL="114300" distR="114300" simplePos="0" relativeHeight="251665408" behindDoc="1" locked="0" layoutInCell="1" allowOverlap="1">
                <wp:simplePos x="0" y="0"/>
                <wp:positionH relativeFrom="column">
                  <wp:posOffset>4590415</wp:posOffset>
                </wp:positionH>
                <wp:positionV relativeFrom="paragraph">
                  <wp:posOffset>73025</wp:posOffset>
                </wp:positionV>
                <wp:extent cx="1267460" cy="946785"/>
                <wp:effectExtent l="0" t="0" r="28575" b="24765"/>
                <wp:wrapNone/>
                <wp:docPr id="51" name="文本框 51"/>
                <wp:cNvGraphicFramePr/>
                <a:graphic xmlns:a="http://schemas.openxmlformats.org/drawingml/2006/main">
                  <a:graphicData uri="http://schemas.microsoft.com/office/word/2010/wordprocessingShape">
                    <wps:wsp>
                      <wps:cNvSpPr txBox="1">
                        <a:spLocks noChangeArrowheads="1"/>
                      </wps:cNvSpPr>
                      <wps:spPr bwMode="auto">
                        <a:xfrm>
                          <a:off x="0" y="0"/>
                          <a:ext cx="1267200" cy="946800"/>
                        </a:xfrm>
                        <a:prstGeom prst="rect">
                          <a:avLst/>
                        </a:prstGeom>
                        <a:solidFill>
                          <a:srgbClr val="FFFFFF"/>
                        </a:solidFill>
                        <a:ln w="9525">
                          <a:solidFill>
                            <a:srgbClr val="FFFFFF"/>
                          </a:solidFill>
                          <a:miter lim="800000"/>
                        </a:ln>
                      </wps:spPr>
                      <wps:txbx>
                        <w:txbxContent>
                          <w:p>
                            <w:pPr>
                              <w:tabs>
                                <w:tab w:val="left" w:pos="1575"/>
                              </w:tabs>
                              <w:rPr>
                                <w:rFonts w:ascii="方正小标宋简体" w:eastAsia="方正小标宋简体"/>
                                <w:color w:val="FFFFFF" w:themeColor="background1"/>
                                <w:w w:val="80"/>
                                <w:sz w:val="84"/>
                                <w:szCs w:val="84"/>
                                <w14:textFill>
                                  <w14:solidFill>
                                    <w14:schemeClr w14:val="bg1"/>
                                  </w14:solidFill>
                                </w14:textFill>
                              </w:rPr>
                            </w:pPr>
                            <w:r>
                              <w:rPr>
                                <w:rFonts w:hint="eastAsia" w:ascii="方正小标宋简体" w:eastAsia="方正小标宋简体"/>
                                <w:color w:val="FFFFFF" w:themeColor="background1"/>
                                <w:w w:val="80"/>
                                <w:sz w:val="84"/>
                                <w:szCs w:val="84"/>
                                <w14:textFill>
                                  <w14:solidFill>
                                    <w14:schemeClr w14:val="bg1"/>
                                  </w14:solidFill>
                                </w14:textFill>
                              </w:rPr>
                              <w:t>文件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61.45pt;margin-top:5.75pt;height:74.55pt;width:99.8pt;z-index:-251651072;mso-width-relative:page;mso-height-relative:page;" fillcolor="#FFFFFF" filled="t" stroked="t" coordsize="21600,21600" o:gfxdata="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egVEr9cA&#10;AAAKAQAADwAAAAAAAAABACAAAAAiAAAAZHJzL2Rvd25yZXYueG1sUEsBAhQAFAAAAAgAh07iQOc8&#10;k74gAgAAOwQAAA4AAAAAAAAAAQAgAAAAJgEAAGRycy9lMm9Eb2MueG1sUEsFBgAAAAAGAAYAWQEA&#10;ALgFAAAAAA==&#10;">
                <v:fill on="t" focussize="0,0"/>
                <v:stroke color="#FFFFFF" miterlimit="8" joinstyle="miter"/>
                <v:imagedata o:title=""/>
                <o:lock v:ext="edit" aspectratio="f"/>
                <v:textbox>
                  <w:txbxContent>
                    <w:p>
                      <w:pPr>
                        <w:tabs>
                          <w:tab w:val="left" w:pos="1575"/>
                        </w:tabs>
                        <w:rPr>
                          <w:rFonts w:ascii="方正小标宋简体" w:eastAsia="方正小标宋简体"/>
                          <w:color w:val="FFFFFF" w:themeColor="background1"/>
                          <w:w w:val="80"/>
                          <w:sz w:val="84"/>
                          <w:szCs w:val="84"/>
                          <w14:textFill>
                            <w14:solidFill>
                              <w14:schemeClr w14:val="bg1"/>
                            </w14:solidFill>
                          </w14:textFill>
                        </w:rPr>
                      </w:pPr>
                      <w:r>
                        <w:rPr>
                          <w:rFonts w:hint="eastAsia" w:ascii="方正小标宋简体" w:eastAsia="方正小标宋简体"/>
                          <w:color w:val="FFFFFF" w:themeColor="background1"/>
                          <w:w w:val="80"/>
                          <w:sz w:val="84"/>
                          <w:szCs w:val="84"/>
                          <w14:textFill>
                            <w14:solidFill>
                              <w14:schemeClr w14:val="bg1"/>
                            </w14:solidFill>
                          </w14:textFill>
                        </w:rPr>
                        <w:t>文件</w:t>
                      </w:r>
                    </w:p>
                  </w:txbxContent>
                </v:textbox>
              </v:shape>
            </w:pict>
          </mc:Fallback>
        </mc:AlternateContent>
      </w:r>
      <w:r>
        <w:rPr>
          <w:rFonts w:ascii="Times New Roman" w:hAnsi="Times New Roman" w:eastAsia="方正小标宋简体"/>
          <w:color w:val="FFFFFF" w:themeColor="background1"/>
          <w:w w:val="90"/>
          <w:sz w:val="48"/>
          <w:szCs w:val="48"/>
          <w14:textFill>
            <w14:solidFill>
              <w14:schemeClr w14:val="bg1"/>
            </w14:solidFill>
          </w14:textFill>
        </w:rPr>
        <w:t>安徽省商务厅</w:t>
      </w:r>
    </w:p>
    <w:p>
      <w:pPr>
        <w:spacing w:line="600" w:lineRule="exact"/>
        <w:ind w:left="105" w:leftChars="50" w:right="1760" w:rightChars="838" w:firstLine="4" w:firstLineChars="1"/>
        <w:jc w:val="distribute"/>
        <w:rPr>
          <w:rFonts w:ascii="Times New Roman" w:hAnsi="Times New Roman" w:eastAsia="方正小标宋简体"/>
          <w:color w:val="FFFFFF" w:themeColor="background1"/>
          <w:w w:val="90"/>
          <w:sz w:val="48"/>
          <w:szCs w:val="48"/>
          <w14:textFill>
            <w14:solidFill>
              <w14:schemeClr w14:val="bg1"/>
            </w14:solidFill>
          </w14:textFill>
        </w:rPr>
      </w:pPr>
      <w:r>
        <w:rPr>
          <w:rFonts w:ascii="Times New Roman" w:hAnsi="Times New Roman" w:eastAsia="方正小标宋简体"/>
          <w:color w:val="FFFFFF" w:themeColor="background1"/>
          <w:w w:val="90"/>
          <w:sz w:val="48"/>
          <w:szCs w:val="48"/>
          <w14:textFill>
            <w14:solidFill>
              <w14:schemeClr w14:val="bg1"/>
            </w14:solidFill>
          </w14:textFill>
        </w:rPr>
        <w:t>中国人民银行合肥中心支行</w:t>
      </w:r>
    </w:p>
    <w:p>
      <w:pPr>
        <w:spacing w:line="600" w:lineRule="exact"/>
        <w:ind w:left="105" w:leftChars="50" w:right="1760" w:rightChars="838" w:firstLine="4" w:firstLineChars="1"/>
        <w:jc w:val="distribute"/>
        <w:rPr>
          <w:rFonts w:ascii="Times New Roman" w:hAnsi="Times New Roman" w:eastAsia="方正小标宋简体"/>
          <w:color w:val="FFFFFF" w:themeColor="background1"/>
          <w:w w:val="90"/>
          <w:sz w:val="48"/>
          <w:szCs w:val="48"/>
          <w14:textFill>
            <w14:solidFill>
              <w14:schemeClr w14:val="bg1"/>
            </w14:solidFill>
          </w14:textFill>
        </w:rPr>
      </w:pPr>
      <w:r>
        <w:rPr>
          <w:rFonts w:ascii="Times New Roman" w:hAnsi="Times New Roman" w:eastAsia="方正小标宋简体"/>
          <w:color w:val="FFFFFF" w:themeColor="background1"/>
          <w:w w:val="90"/>
          <w:sz w:val="48"/>
          <w:szCs w:val="48"/>
          <w14:textFill>
            <w14:solidFill>
              <w14:schemeClr w14:val="bg1"/>
            </w14:solidFill>
          </w14:textFill>
        </w:rPr>
        <w:t>国家税务总局安徽省税务局</w:t>
      </w:r>
    </w:p>
    <w:p>
      <w:pPr>
        <w:spacing w:line="600" w:lineRule="exact"/>
        <w:ind w:left="105" w:leftChars="50" w:right="1760" w:rightChars="838" w:firstLine="4" w:firstLineChars="1"/>
        <w:jc w:val="distribute"/>
        <w:rPr>
          <w:rFonts w:ascii="Times New Roman" w:hAnsi="Times New Roman" w:eastAsia="方正小标宋简体"/>
          <w:color w:val="FFFFFF" w:themeColor="background1"/>
          <w:w w:val="90"/>
          <w:sz w:val="48"/>
          <w:szCs w:val="48"/>
          <w14:textFill>
            <w14:solidFill>
              <w14:schemeClr w14:val="bg1"/>
            </w14:solidFill>
          </w14:textFill>
        </w:rPr>
      </w:pPr>
      <w:r>
        <w:rPr>
          <w:rFonts w:ascii="Times New Roman" w:hAnsi="Times New Roman" w:eastAsia="方正小标宋简体"/>
          <w:color w:val="FFFFFF" w:themeColor="background1"/>
          <w:w w:val="90"/>
          <w:sz w:val="48"/>
          <w:szCs w:val="48"/>
          <w14:textFill>
            <w14:solidFill>
              <w14:schemeClr w14:val="bg1"/>
            </w14:solidFill>
          </w14:textFill>
        </w:rPr>
        <w:t>中国证券监督管理委员会安徽监管局</w:t>
      </w:r>
    </w:p>
    <w:p>
      <w:pPr>
        <w:spacing w:line="600" w:lineRule="exact"/>
        <w:ind w:left="105" w:leftChars="50" w:right="1760" w:rightChars="838" w:firstLine="4" w:firstLineChars="1"/>
        <w:jc w:val="distribute"/>
        <w:rPr>
          <w:rFonts w:ascii="Times New Roman" w:hAnsi="Times New Roman" w:eastAsia="方正小标宋简体"/>
          <w:color w:val="FFFFFF" w:themeColor="background1"/>
          <w:w w:val="90"/>
          <w:sz w:val="48"/>
          <w:szCs w:val="48"/>
          <w14:textFill>
            <w14:solidFill>
              <w14:schemeClr w14:val="bg1"/>
            </w14:solidFill>
          </w14:textFill>
        </w:rPr>
      </w:pPr>
      <w:r>
        <w:rPr>
          <w:rFonts w:hint="eastAsia" w:ascii="Times New Roman" w:hAnsi="Times New Roman" w:eastAsia="方正小标宋简体"/>
          <w:color w:val="FFFFFF" w:themeColor="background1"/>
          <w:w w:val="90"/>
          <w:sz w:val="48"/>
          <w:szCs w:val="48"/>
          <w14:textFill>
            <w14:solidFill>
              <w14:schemeClr w14:val="bg1"/>
            </w14:solidFill>
          </w14:textFill>
        </w:rPr>
        <w:t>安徽省供销合作社联合社</w:t>
      </w:r>
    </w:p>
    <w:p>
      <w:pPr>
        <w:spacing w:line="700" w:lineRule="exact"/>
        <w:rPr>
          <w:rFonts w:ascii="Times New Roman" w:hAnsi="Times New Roman" w:eastAsia="华文中宋"/>
          <w:w w:val="58"/>
          <w:sz w:val="140"/>
          <w:szCs w:val="140"/>
        </w:rPr>
      </w:pPr>
      <w:r>
        <w:rPr>
          <w:rFonts w:ascii="Times New Roman" w:hAnsi="Times New Roman" w:eastAsia="华文中宋"/>
          <w:sz w:val="140"/>
          <w:szCs w:val="140"/>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935990</wp:posOffset>
                </wp:positionV>
                <wp:extent cx="5723890" cy="0"/>
                <wp:effectExtent l="0" t="19050" r="10160" b="19050"/>
                <wp:wrapNone/>
                <wp:docPr id="3" name="Line 76"/>
                <wp:cNvGraphicFramePr/>
                <a:graphic xmlns:a="http://schemas.openxmlformats.org/drawingml/2006/main">
                  <a:graphicData uri="http://schemas.microsoft.com/office/word/2010/wordprocessingShape">
                    <wps:wsp>
                      <wps:cNvCnPr>
                        <a:cxnSpLocks noChangeShapeType="1"/>
                      </wps:cNvCnPr>
                      <wps:spPr bwMode="auto">
                        <a:xfrm>
                          <a:off x="0" y="0"/>
                          <a:ext cx="5723890" cy="0"/>
                        </a:xfrm>
                        <a:prstGeom prst="line">
                          <a:avLst/>
                        </a:prstGeom>
                        <a:noFill/>
                        <a:ln w="28575">
                          <a:solidFill>
                            <a:schemeClr val="bg1"/>
                          </a:solidFill>
                          <a:round/>
                        </a:ln>
                      </wps:spPr>
                      <wps:bodyPr/>
                    </wps:wsp>
                  </a:graphicData>
                </a:graphic>
              </wp:anchor>
            </w:drawing>
          </mc:Choice>
          <mc:Fallback>
            <w:pict>
              <v:line id="Line 76" o:spid="_x0000_s1026" o:spt="20" style="position:absolute;left:0pt;margin-left:-9pt;margin-top:73.7pt;height:0pt;width:450.7pt;z-index:251658240;mso-width-relative:page;mso-height-relative:page;" filled="f" stroked="t" coordsize="21600,21600" o:gfxdata="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K6SigNMA&#10;AAALAQAADwAAAAAAAAABACAAAAAiAAAAZHJzL2Rvd25yZXYueG1sUEsBAhQAFAAAAAgAh07iQATU&#10;K+OyAQAAUwMAAA4AAAAAAAAAAQAgAAAAIgEAAGRycy9lMm9Eb2MueG1sUEsFBgAAAAAGAAYAWQEA&#10;AEYFAAAAAA==&#10;">
                <v:fill on="f" focussize="0,0"/>
                <v:stroke weight="2.25pt" color="#FFFFFF [3212]" joinstyle="round"/>
                <v:imagedata o:title=""/>
                <o:lock v:ext="edit" aspectratio="f"/>
              </v:line>
            </w:pict>
          </mc:Fallback>
        </mc:AlternateContent>
      </w:r>
    </w:p>
    <w:p>
      <w:pPr>
        <w:tabs>
          <w:tab w:val="left" w:pos="8690"/>
        </w:tabs>
        <w:adjustRightInd w:val="0"/>
        <w:snapToGrid w:val="0"/>
        <w:spacing w:line="580" w:lineRule="exact"/>
        <w:ind w:right="153" w:rightChars="73"/>
        <w:jc w:val="center"/>
        <w:rPr>
          <w:rFonts w:ascii="Times New Roman" w:hAnsi="Times New Roman" w:eastAsia="楷体_GB2312"/>
          <w:sz w:val="32"/>
          <w:szCs w:val="32"/>
        </w:rPr>
      </w:pPr>
      <w:r>
        <w:rPr>
          <w:rFonts w:ascii="Times New Roman" w:hAnsi="Times New Roman" w:eastAsia="仿宋_GB2312"/>
          <w:sz w:val="32"/>
          <w:szCs w:val="32"/>
        </w:rPr>
        <w:t>皖农产〔2019〕23号</w:t>
      </w:r>
    </w:p>
    <w:p>
      <w:pPr>
        <w:snapToGrid w:val="0"/>
        <w:spacing w:line="600" w:lineRule="exact"/>
        <w:jc w:val="center"/>
        <w:rPr>
          <w:rFonts w:ascii="Times New Roman" w:hAnsi="Times New Roman"/>
          <w:sz w:val="40"/>
          <w:szCs w:val="40"/>
        </w:rPr>
      </w:pPr>
    </w:p>
    <w:p>
      <w:pPr>
        <w:snapToGrid w:val="0"/>
        <w:spacing w:line="440" w:lineRule="exact"/>
        <w:jc w:val="center"/>
        <w:rPr>
          <w:rFonts w:ascii="Times New Roman" w:hAnsi="Times New Roman"/>
          <w:sz w:val="40"/>
          <w:szCs w:val="40"/>
        </w:rPr>
      </w:pPr>
    </w:p>
    <w:p>
      <w:pPr>
        <w:snapToGrid w:val="0"/>
        <w:spacing w:line="440" w:lineRule="exact"/>
        <w:jc w:val="center"/>
        <w:rPr>
          <w:rFonts w:ascii="Times New Roman" w:hAnsi="Times New Roman"/>
          <w:sz w:val="40"/>
          <w:szCs w:val="40"/>
        </w:rPr>
      </w:pPr>
    </w:p>
    <w:p>
      <w:pPr>
        <w:adjustRightInd w:val="0"/>
        <w:snapToGrid w:val="0"/>
        <w:spacing w:line="600" w:lineRule="exact"/>
        <w:jc w:val="center"/>
        <w:rPr>
          <w:rFonts w:ascii="Times New Roman" w:hAnsi="Times New Roman" w:eastAsia="方正小标宋简体"/>
          <w:bCs/>
          <w:snapToGrid w:val="0"/>
          <w:kern w:val="0"/>
          <w:sz w:val="44"/>
          <w:szCs w:val="44"/>
        </w:rPr>
      </w:pPr>
      <w:bookmarkStart w:id="0" w:name="_GoBack"/>
      <w:r>
        <w:rPr>
          <w:rFonts w:ascii="Times New Roman" w:hAnsi="Times New Roman" w:eastAsia="方正小标宋简体"/>
          <w:bCs/>
          <w:snapToGrid w:val="0"/>
          <w:kern w:val="0"/>
          <w:sz w:val="44"/>
          <w:szCs w:val="44"/>
        </w:rPr>
        <w:t>关于印发安徽省农业产业化省级重点龙头企业认定和运行监测管理办法的通知</w:t>
      </w:r>
    </w:p>
    <w:bookmarkEnd w:id="0"/>
    <w:p>
      <w:pPr>
        <w:adjustRightInd w:val="0"/>
        <w:snapToGrid w:val="0"/>
        <w:spacing w:line="600" w:lineRule="exact"/>
        <w:ind w:firstLine="643" w:firstLineChars="200"/>
        <w:rPr>
          <w:rFonts w:ascii="Times New Roman" w:hAnsi="Times New Roman" w:eastAsia="仿宋_GB2312"/>
          <w:b/>
          <w:bCs/>
          <w:snapToGrid w:val="0"/>
          <w:kern w:val="0"/>
          <w:sz w:val="32"/>
          <w:szCs w:val="32"/>
        </w:rPr>
      </w:pPr>
      <w:r>
        <w:rPr>
          <w:rFonts w:ascii="Times New Roman" w:hAnsi="Times New Roman" w:eastAsia="仿宋_GB2312"/>
          <w:b/>
          <w:bCs/>
          <w:snapToGrid w:val="0"/>
          <w:kern w:val="0"/>
          <w:sz w:val="32"/>
          <w:szCs w:val="32"/>
        </w:rPr>
        <w:t xml:space="preserve"> </w:t>
      </w:r>
    </w:p>
    <w:p>
      <w:pPr>
        <w:adjustRightInd w:val="0"/>
        <w:snapToGrid w:val="0"/>
        <w:spacing w:line="600" w:lineRule="exact"/>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各市农业产业化主管部门、发展改革委、财政局、商务局、供销合作社，中国人民银行各市中心支行、巢湖中心支行，国家税务总局安徽省各市税务局：</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根据农业农村部、国家发展改革委、财政部、商务部、中国人民银行、国家税务总局、中国证券监督管理委员会、中华全国供销合作总社《关于印发农业产业化国家重点龙头企业认定和运行监测管理办法的通知》（农经发〔2018〕</w:t>
      </w:r>
      <w:r>
        <w:rPr>
          <w:rFonts w:hint="eastAsia" w:ascii="Times New Roman" w:hAnsi="Times New Roman" w:eastAsia="仿宋_GB2312"/>
          <w:snapToGrid w:val="0"/>
          <w:kern w:val="0"/>
          <w:sz w:val="32"/>
          <w:szCs w:val="32"/>
        </w:rPr>
        <w:t>1</w:t>
      </w:r>
      <w:r>
        <w:rPr>
          <w:rFonts w:ascii="Times New Roman" w:hAnsi="Times New Roman" w:eastAsia="仿宋_GB2312"/>
          <w:snapToGrid w:val="0"/>
          <w:kern w:val="0"/>
          <w:sz w:val="32"/>
          <w:szCs w:val="32"/>
        </w:rPr>
        <w:t>号）要求，为进一步规范农业产业化省级重点龙头企业的认定和运行监测工作，加强对省级重点龙头企业的服务与扶持，培育壮大龙头企业，增强辐射带动能力，结合我省实施乡村振兴战略、发展现代农业的新要求和农业产业化发展的新情况，省农业农村厅、省发展改革委、省财政厅、省商务厅、省供销合作社联合社，中国人民银行合肥中心支行、国家税务总局安徽省税务局、中国证券监督管理委员会安徽监管局制定了《安徽省农业产业化省级重点龙头企业认定和运行监测管理办法》，现印发给你们，请贯彻执行。</w:t>
      </w:r>
    </w:p>
    <w:p>
      <w:pPr>
        <w:adjustRightInd w:val="0"/>
        <w:snapToGrid w:val="0"/>
        <w:spacing w:line="600" w:lineRule="exact"/>
        <w:ind w:firstLine="640" w:firstLineChars="200"/>
        <w:rPr>
          <w:rFonts w:ascii="Times New Roman" w:hAnsi="Times New Roman" w:eastAsia="仿宋_GB2312"/>
          <w:snapToGrid w:val="0"/>
          <w:kern w:val="0"/>
          <w:sz w:val="32"/>
          <w:szCs w:val="32"/>
        </w:rPr>
      </w:pP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 xml:space="preserve"> </w:t>
      </w:r>
    </w:p>
    <w:p>
      <w:pPr>
        <w:adjustRightInd w:val="0"/>
        <w:snapToGrid w:val="0"/>
        <w:spacing w:line="600" w:lineRule="exact"/>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安徽省农业农村厅</w:t>
      </w:r>
      <w:r>
        <w:rPr>
          <w:rFonts w:ascii="Times New Roman" w:hAnsi="Times New Roman" w:eastAsia="仿宋_GB2312"/>
          <w:color w:val="0D0D0D"/>
          <w:sz w:val="32"/>
          <w:szCs w:val="32"/>
        </w:rPr>
        <w:t xml:space="preserve">     </w:t>
      </w:r>
      <w:r>
        <w:rPr>
          <w:rFonts w:ascii="Times New Roman" w:hAnsi="Times New Roman" w:eastAsia="仿宋_GB2312"/>
          <w:snapToGrid w:val="0"/>
          <w:kern w:val="0"/>
          <w:sz w:val="32"/>
          <w:szCs w:val="32"/>
        </w:rPr>
        <w:t>安徽省发展和</w:t>
      </w:r>
      <w:r>
        <w:rPr>
          <w:rFonts w:ascii="Times New Roman" w:hAnsi="Times New Roman" w:eastAsia="仿宋_GB2312"/>
          <w:color w:val="0D0D0D"/>
          <w:sz w:val="32"/>
          <w:szCs w:val="32"/>
        </w:rPr>
        <w:t xml:space="preserve">     </w:t>
      </w:r>
      <w:r>
        <w:rPr>
          <w:rFonts w:ascii="Times New Roman" w:hAnsi="Times New Roman" w:eastAsia="仿宋_GB2312"/>
          <w:snapToGrid w:val="0"/>
          <w:kern w:val="0"/>
          <w:sz w:val="32"/>
          <w:szCs w:val="32"/>
        </w:rPr>
        <w:t>安徽省财政厅</w:t>
      </w:r>
    </w:p>
    <w:p>
      <w:pPr>
        <w:adjustRightInd w:val="0"/>
        <w:snapToGrid w:val="0"/>
        <w:spacing w:line="600" w:lineRule="exact"/>
        <w:ind w:firstLine="3520" w:firstLineChars="11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 xml:space="preserve">改革委员会 </w:t>
      </w:r>
    </w:p>
    <w:p>
      <w:pPr>
        <w:adjustRightInd w:val="0"/>
        <w:snapToGrid w:val="0"/>
        <w:spacing w:line="600" w:lineRule="exact"/>
        <w:ind w:firstLine="320" w:firstLineChars="100"/>
        <w:rPr>
          <w:rFonts w:ascii="Times New Roman" w:hAnsi="Times New Roman" w:eastAsia="仿宋_GB2312"/>
          <w:snapToGrid w:val="0"/>
          <w:kern w:val="0"/>
          <w:sz w:val="32"/>
          <w:szCs w:val="32"/>
        </w:rPr>
      </w:pPr>
    </w:p>
    <w:p>
      <w:pPr>
        <w:adjustRightInd w:val="0"/>
        <w:snapToGrid w:val="0"/>
        <w:spacing w:line="600" w:lineRule="exact"/>
        <w:ind w:firstLine="320" w:firstLineChars="100"/>
        <w:rPr>
          <w:rFonts w:ascii="Times New Roman" w:hAnsi="Times New Roman" w:eastAsia="仿宋_GB2312"/>
          <w:snapToGrid w:val="0"/>
          <w:kern w:val="0"/>
          <w:sz w:val="32"/>
          <w:szCs w:val="32"/>
        </w:rPr>
      </w:pPr>
    </w:p>
    <w:p>
      <w:pPr>
        <w:adjustRightInd w:val="0"/>
        <w:snapToGrid w:val="0"/>
        <w:spacing w:line="600" w:lineRule="exact"/>
        <w:ind w:firstLine="320" w:firstLineChars="100"/>
        <w:rPr>
          <w:rFonts w:ascii="Times New Roman" w:hAnsi="Times New Roman" w:eastAsia="仿宋_GB2312"/>
          <w:snapToGrid w:val="0"/>
          <w:kern w:val="0"/>
          <w:sz w:val="32"/>
          <w:szCs w:val="32"/>
        </w:rPr>
      </w:pPr>
    </w:p>
    <w:p>
      <w:pPr>
        <w:adjustRightInd w:val="0"/>
        <w:snapToGrid w:val="0"/>
        <w:spacing w:line="600" w:lineRule="exact"/>
        <w:ind w:firstLine="320" w:firstLineChars="1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安徽省商务厅</w:t>
      </w:r>
      <w:r>
        <w:rPr>
          <w:rFonts w:ascii="Times New Roman" w:hAnsi="Times New Roman" w:eastAsia="仿宋_GB2312"/>
          <w:sz w:val="32"/>
          <w:szCs w:val="32"/>
        </w:rPr>
        <w:t xml:space="preserve">       </w:t>
      </w:r>
      <w:r>
        <w:rPr>
          <w:rFonts w:ascii="Times New Roman" w:hAnsi="Times New Roman" w:eastAsia="仿宋_GB2312"/>
          <w:snapToGrid w:val="0"/>
          <w:kern w:val="0"/>
          <w:sz w:val="32"/>
          <w:szCs w:val="32"/>
        </w:rPr>
        <w:t xml:space="preserve">中国人民银行 </w:t>
      </w:r>
      <w:r>
        <w:rPr>
          <w:rFonts w:hint="eastAsia" w:ascii="Times New Roman" w:hAnsi="Times New Roman" w:eastAsia="仿宋_GB2312"/>
          <w:snapToGrid w:val="0"/>
          <w:kern w:val="0"/>
          <w:sz w:val="32"/>
          <w:szCs w:val="32"/>
        </w:rPr>
        <w:t xml:space="preserve">     国家税务总局</w:t>
      </w:r>
    </w:p>
    <w:p>
      <w:pPr>
        <w:adjustRightInd w:val="0"/>
        <w:snapToGrid w:val="0"/>
        <w:spacing w:line="600" w:lineRule="exact"/>
        <w:ind w:left="638" w:leftChars="304" w:firstLine="2720" w:firstLineChars="85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合肥中心支行</w:t>
      </w:r>
      <w:r>
        <w:rPr>
          <w:rFonts w:hint="eastAsia" w:ascii="Times New Roman" w:hAnsi="Times New Roman" w:eastAsia="仿宋_GB2312"/>
          <w:snapToGrid w:val="0"/>
          <w:kern w:val="0"/>
          <w:sz w:val="32"/>
          <w:szCs w:val="32"/>
        </w:rPr>
        <w:t xml:space="preserve">      </w:t>
      </w:r>
      <w:r>
        <w:rPr>
          <w:rFonts w:ascii="Times New Roman" w:hAnsi="Times New Roman" w:eastAsia="仿宋_GB2312"/>
          <w:snapToGrid w:val="0"/>
          <w:kern w:val="0"/>
          <w:sz w:val="32"/>
          <w:szCs w:val="32"/>
        </w:rPr>
        <w:t>安徽省税务局</w:t>
      </w:r>
    </w:p>
    <w:p>
      <w:pPr>
        <w:adjustRightInd w:val="0"/>
        <w:snapToGrid w:val="0"/>
        <w:spacing w:line="600" w:lineRule="exact"/>
        <w:ind w:firstLine="320" w:firstLineChars="100"/>
        <w:rPr>
          <w:rFonts w:ascii="Times New Roman" w:hAnsi="Times New Roman" w:eastAsia="仿宋_GB2312"/>
          <w:snapToGrid w:val="0"/>
          <w:kern w:val="0"/>
          <w:sz w:val="32"/>
          <w:szCs w:val="32"/>
        </w:rPr>
      </w:pPr>
    </w:p>
    <w:p>
      <w:pPr>
        <w:adjustRightInd w:val="0"/>
        <w:snapToGrid w:val="0"/>
        <w:spacing w:line="600" w:lineRule="exact"/>
        <w:ind w:firstLine="320" w:firstLineChars="100"/>
        <w:rPr>
          <w:rFonts w:ascii="Times New Roman" w:hAnsi="Times New Roman" w:eastAsia="仿宋_GB2312"/>
          <w:snapToGrid w:val="0"/>
          <w:kern w:val="0"/>
          <w:sz w:val="32"/>
          <w:szCs w:val="32"/>
        </w:rPr>
      </w:pPr>
    </w:p>
    <w:p>
      <w:pPr>
        <w:adjustRightInd w:val="0"/>
        <w:snapToGrid w:val="0"/>
        <w:spacing w:line="600" w:lineRule="exact"/>
        <w:ind w:firstLine="320" w:firstLineChars="100"/>
        <w:rPr>
          <w:rFonts w:ascii="Times New Roman" w:hAnsi="Times New Roman" w:eastAsia="仿宋_GB2312"/>
          <w:snapToGrid w:val="0"/>
          <w:kern w:val="0"/>
          <w:sz w:val="32"/>
          <w:szCs w:val="32"/>
        </w:rPr>
      </w:pPr>
    </w:p>
    <w:p>
      <w:pPr>
        <w:adjustRightInd w:val="0"/>
        <w:snapToGrid w:val="0"/>
        <w:spacing w:line="600" w:lineRule="exact"/>
        <w:ind w:firstLine="320" w:firstLineChars="100"/>
        <w:rPr>
          <w:rFonts w:ascii="Times New Roman" w:hAnsi="Times New Roman" w:eastAsia="仿宋_GB2312"/>
          <w:snapToGrid w:val="0"/>
          <w:kern w:val="0"/>
          <w:sz w:val="32"/>
          <w:szCs w:val="32"/>
        </w:rPr>
      </w:pPr>
    </w:p>
    <w:p>
      <w:pPr>
        <w:adjustRightInd w:val="0"/>
        <w:snapToGrid w:val="0"/>
        <w:spacing w:line="600" w:lineRule="exact"/>
        <w:ind w:firstLine="320" w:firstLineChars="1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中国证券监督管理委员</w:t>
      </w:r>
      <w:r>
        <w:rPr>
          <w:rFonts w:hint="eastAsia" w:ascii="Times New Roman" w:hAnsi="Times New Roman" w:eastAsia="仿宋_GB2312"/>
          <w:snapToGrid w:val="0"/>
          <w:kern w:val="0"/>
          <w:sz w:val="32"/>
          <w:szCs w:val="32"/>
        </w:rPr>
        <w:t>会</w:t>
      </w:r>
      <w:r>
        <w:rPr>
          <w:rFonts w:ascii="Times New Roman" w:hAnsi="Times New Roman" w:eastAsia="仿宋_GB2312"/>
          <w:sz w:val="32"/>
          <w:szCs w:val="32"/>
        </w:rPr>
        <w:t xml:space="preserve">  </w:t>
      </w:r>
      <w:r>
        <w:rPr>
          <w:rFonts w:hint="eastAsia" w:ascii="Times New Roman" w:hAnsi="Times New Roman" w:eastAsia="仿宋_GB2312"/>
          <w:sz w:val="32"/>
          <w:szCs w:val="32"/>
        </w:rPr>
        <w:t xml:space="preserve">       </w:t>
      </w:r>
      <w:r>
        <w:rPr>
          <w:rFonts w:ascii="Times New Roman" w:hAnsi="Times New Roman" w:eastAsia="仿宋_GB2312"/>
          <w:snapToGrid w:val="0"/>
          <w:kern w:val="0"/>
          <w:sz w:val="32"/>
          <w:szCs w:val="32"/>
        </w:rPr>
        <w:t>安徽省供销</w:t>
      </w: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 </w:t>
      </w:r>
    </w:p>
    <w:p>
      <w:pPr>
        <w:adjustRightInd w:val="0"/>
        <w:snapToGrid w:val="0"/>
        <w:spacing w:line="600" w:lineRule="exact"/>
        <w:ind w:firstLine="1216" w:firstLineChars="38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安徽监管局</w:t>
      </w:r>
      <w:r>
        <w:rPr>
          <w:rFonts w:hint="eastAsia" w:ascii="Times New Roman" w:hAnsi="Times New Roman" w:eastAsia="仿宋_GB2312"/>
          <w:snapToGrid w:val="0"/>
          <w:kern w:val="0"/>
          <w:sz w:val="32"/>
          <w:szCs w:val="32"/>
        </w:rPr>
        <w:t xml:space="preserve">               </w:t>
      </w:r>
      <w:r>
        <w:rPr>
          <w:rFonts w:ascii="Times New Roman" w:hAnsi="Times New Roman" w:eastAsia="仿宋_GB2312"/>
          <w:snapToGrid w:val="0"/>
          <w:kern w:val="0"/>
          <w:sz w:val="32"/>
          <w:szCs w:val="32"/>
        </w:rPr>
        <w:t>合作社联合社</w:t>
      </w: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   </w:t>
      </w:r>
    </w:p>
    <w:p>
      <w:pPr>
        <w:wordWrap w:val="0"/>
        <w:adjustRightInd w:val="0"/>
        <w:snapToGrid w:val="0"/>
        <w:spacing w:line="600" w:lineRule="exact"/>
        <w:jc w:val="right"/>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 xml:space="preserve">2019年2月25日 </w:t>
      </w:r>
      <w:r>
        <w:rPr>
          <w:rFonts w:hint="eastAsia" w:ascii="Times New Roman" w:hAnsi="Times New Roman" w:eastAsia="仿宋_GB2312"/>
          <w:snapToGrid w:val="0"/>
          <w:kern w:val="0"/>
          <w:sz w:val="32"/>
          <w:szCs w:val="32"/>
        </w:rPr>
        <w:t xml:space="preserve">      </w:t>
      </w:r>
      <w:r>
        <w:rPr>
          <w:rFonts w:ascii="Times New Roman" w:hAnsi="Times New Roman" w:eastAsia="仿宋_GB2312"/>
          <w:snapToGrid w:val="0"/>
          <w:kern w:val="0"/>
          <w:sz w:val="32"/>
          <w:szCs w:val="32"/>
        </w:rPr>
        <w:t xml:space="preserve"> </w:t>
      </w:r>
    </w:p>
    <w:p>
      <w:pPr>
        <w:adjustRightInd w:val="0"/>
        <w:snapToGrid w:val="0"/>
        <w:spacing w:line="600" w:lineRule="exact"/>
        <w:ind w:firstLine="640" w:firstLineChars="200"/>
        <w:rPr>
          <w:rFonts w:ascii="Times New Roman" w:hAnsi="Times New Roman" w:eastAsia="仿宋_GB2312"/>
          <w:snapToGrid w:val="0"/>
          <w:kern w:val="0"/>
          <w:sz w:val="32"/>
          <w:szCs w:val="32"/>
        </w:rPr>
      </w:pPr>
    </w:p>
    <w:p>
      <w:pPr>
        <w:adjustRightInd w:val="0"/>
        <w:snapToGrid w:val="0"/>
        <w:spacing w:line="600" w:lineRule="exact"/>
        <w:ind w:firstLine="640" w:firstLineChars="200"/>
        <w:rPr>
          <w:rFonts w:ascii="Times New Roman" w:hAnsi="Times New Roman" w:eastAsia="仿宋_GB2312"/>
          <w:snapToGrid w:val="0"/>
          <w:kern w:val="0"/>
          <w:sz w:val="32"/>
          <w:szCs w:val="32"/>
        </w:rPr>
      </w:pPr>
    </w:p>
    <w:p>
      <w:pPr>
        <w:adjustRightInd w:val="0"/>
        <w:snapToGrid w:val="0"/>
        <w:spacing w:line="600" w:lineRule="exact"/>
        <w:ind w:firstLine="640" w:firstLineChars="200"/>
        <w:rPr>
          <w:rFonts w:ascii="Times New Roman" w:hAnsi="Times New Roman" w:eastAsia="仿宋_GB2312"/>
          <w:snapToGrid w:val="0"/>
          <w:kern w:val="0"/>
          <w:sz w:val="32"/>
          <w:szCs w:val="32"/>
        </w:rPr>
      </w:pPr>
    </w:p>
    <w:p>
      <w:pPr>
        <w:adjustRightInd w:val="0"/>
        <w:snapToGrid w:val="0"/>
        <w:spacing w:line="600" w:lineRule="exact"/>
        <w:ind w:firstLine="640" w:firstLineChars="200"/>
        <w:rPr>
          <w:rFonts w:ascii="Times New Roman" w:hAnsi="Times New Roman" w:eastAsia="仿宋_GB2312"/>
          <w:snapToGrid w:val="0"/>
          <w:kern w:val="0"/>
          <w:sz w:val="32"/>
          <w:szCs w:val="32"/>
        </w:rPr>
      </w:pPr>
    </w:p>
    <w:p>
      <w:pPr>
        <w:rPr>
          <w:rFonts w:ascii="Times New Roman" w:hAnsi="Times New Roman" w:eastAsia="仿宋"/>
          <w:sz w:val="32"/>
        </w:rPr>
      </w:pPr>
    </w:p>
    <w:p>
      <w:pPr>
        <w:rPr>
          <w:rFonts w:ascii="Times New Roman" w:hAnsi="Times New Roman" w:eastAsia="仿宋"/>
          <w:sz w:val="32"/>
        </w:rPr>
      </w:pPr>
    </w:p>
    <w:p>
      <w:pPr>
        <w:rPr>
          <w:rFonts w:ascii="Times New Roman" w:hAnsi="Times New Roman" w:eastAsia="仿宋"/>
          <w:sz w:val="32"/>
        </w:rPr>
      </w:pPr>
    </w:p>
    <w:p>
      <w:pPr>
        <w:rPr>
          <w:rFonts w:ascii="Times New Roman" w:hAnsi="Times New Roman" w:eastAsia="仿宋"/>
          <w:sz w:val="32"/>
        </w:rPr>
      </w:pPr>
    </w:p>
    <w:p>
      <w:pPr>
        <w:rPr>
          <w:rFonts w:ascii="Times New Roman" w:hAnsi="Times New Roman" w:eastAsia="仿宋"/>
          <w:sz w:val="32"/>
        </w:rPr>
      </w:pPr>
    </w:p>
    <w:p>
      <w:pPr>
        <w:rPr>
          <w:rFonts w:ascii="Times New Roman" w:hAnsi="Times New Roman" w:eastAsia="仿宋"/>
          <w:sz w:val="32"/>
        </w:rPr>
      </w:pPr>
    </w:p>
    <w:p>
      <w:pPr>
        <w:rPr>
          <w:rFonts w:ascii="Times New Roman" w:hAnsi="Times New Roman" w:eastAsia="仿宋"/>
          <w:sz w:val="32"/>
        </w:rPr>
      </w:pPr>
    </w:p>
    <w:p>
      <w:pPr>
        <w:rPr>
          <w:rFonts w:ascii="Times New Roman" w:hAnsi="Times New Roman" w:eastAsia="仿宋"/>
          <w:sz w:val="32"/>
        </w:rPr>
      </w:pPr>
    </w:p>
    <w:p>
      <w:pPr>
        <w:rPr>
          <w:rFonts w:ascii="Times New Roman" w:hAnsi="Times New Roman" w:eastAsia="仿宋"/>
          <w:sz w:val="32"/>
        </w:rPr>
      </w:pPr>
    </w:p>
    <w:p>
      <w:pPr>
        <w:rPr>
          <w:rFonts w:ascii="Times New Roman" w:hAnsi="Times New Roman" w:eastAsia="仿宋"/>
          <w:sz w:val="32"/>
        </w:rPr>
      </w:pPr>
    </w:p>
    <w:p>
      <w:pPr>
        <w:rPr>
          <w:rFonts w:ascii="Times New Roman" w:hAnsi="Times New Roman" w:eastAsia="仿宋"/>
          <w:sz w:val="32"/>
        </w:rPr>
      </w:pPr>
    </w:p>
    <w:p>
      <w:pPr>
        <w:rPr>
          <w:rFonts w:ascii="Times New Roman" w:hAnsi="Times New Roman" w:eastAsia="仿宋"/>
          <w:sz w:val="32"/>
        </w:rPr>
      </w:pPr>
    </w:p>
    <w:p>
      <w:pPr>
        <w:rPr>
          <w:rFonts w:ascii="Times New Roman" w:hAnsi="Times New Roman" w:eastAsia="仿宋"/>
          <w:sz w:val="32"/>
        </w:rPr>
      </w:pPr>
    </w:p>
    <w:p>
      <w:pPr>
        <w:rPr>
          <w:rFonts w:ascii="Times New Roman" w:hAnsi="Times New Roman" w:eastAsia="仿宋"/>
          <w:sz w:val="32"/>
        </w:rPr>
      </w:pPr>
    </w:p>
    <w:p>
      <w:pPr>
        <w:rPr>
          <w:rFonts w:ascii="Times New Roman" w:hAnsi="Times New Roman" w:eastAsia="仿宋"/>
          <w:sz w:val="32"/>
        </w:rPr>
      </w:pPr>
    </w:p>
    <w:p>
      <w:pPr>
        <w:rPr>
          <w:rFonts w:ascii="Times New Roman" w:hAnsi="Times New Roman" w:eastAsia="仿宋"/>
          <w:sz w:val="32"/>
        </w:rPr>
      </w:pPr>
    </w:p>
    <w:p>
      <w:pPr>
        <w:rPr>
          <w:rFonts w:ascii="Times New Roman" w:hAnsi="Times New Roman" w:eastAsia="仿宋"/>
          <w:sz w:val="32"/>
        </w:rPr>
      </w:pPr>
    </w:p>
    <w:p>
      <w:pPr>
        <w:rPr>
          <w:rFonts w:ascii="Times New Roman" w:hAnsi="Times New Roman" w:eastAsia="仿宋"/>
          <w:sz w:val="32"/>
        </w:rPr>
      </w:pPr>
    </w:p>
    <w:p>
      <w:pPr>
        <w:rPr>
          <w:rFonts w:ascii="Times New Roman" w:hAnsi="Times New Roman" w:eastAsia="仿宋"/>
          <w:sz w:val="32"/>
        </w:rPr>
      </w:pPr>
    </w:p>
    <w:p>
      <w:pPr>
        <w:rPr>
          <w:rFonts w:ascii="Times New Roman" w:hAnsi="Times New Roman" w:eastAsia="仿宋"/>
          <w:sz w:val="32"/>
        </w:rPr>
      </w:pPr>
    </w:p>
    <w:p>
      <w:pPr>
        <w:adjustRightInd w:val="0"/>
        <w:snapToGrid w:val="0"/>
        <w:spacing w:line="600" w:lineRule="exact"/>
        <w:ind w:firstLine="200"/>
        <w:jc w:val="center"/>
        <w:rPr>
          <w:rFonts w:ascii="Times New Roman" w:hAnsi="Times New Roman"/>
          <w:sz w:val="44"/>
          <w:szCs w:val="44"/>
        </w:rPr>
      </w:pPr>
    </w:p>
    <w:p>
      <w:pPr>
        <w:adjustRightInd w:val="0"/>
        <w:snapToGrid w:val="0"/>
        <w:spacing w:line="600" w:lineRule="exact"/>
        <w:ind w:firstLine="200"/>
        <w:jc w:val="center"/>
        <w:rPr>
          <w:rFonts w:ascii="Times New Roman" w:hAnsi="Times New Roman" w:eastAsia="方正小标宋简体"/>
          <w:sz w:val="44"/>
          <w:szCs w:val="44"/>
        </w:rPr>
      </w:pPr>
    </w:p>
    <w:p>
      <w:pPr>
        <w:adjustRightInd w:val="0"/>
        <w:snapToGrid w:val="0"/>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安徽省农业产业化省级重点龙头企业</w:t>
      </w:r>
    </w:p>
    <w:p>
      <w:pPr>
        <w:adjustRightInd w:val="0"/>
        <w:snapToGrid w:val="0"/>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认定和运行监测管理办法</w:t>
      </w:r>
    </w:p>
    <w:p>
      <w:pPr>
        <w:pStyle w:val="8"/>
        <w:widowControl w:val="0"/>
        <w:adjustRightInd w:val="0"/>
        <w:snapToGrid w:val="0"/>
        <w:spacing w:before="0" w:beforeAutospacing="0" w:after="0" w:afterAutospacing="0" w:line="600" w:lineRule="exact"/>
        <w:ind w:left="5250" w:firstLine="200"/>
        <w:jc w:val="both"/>
        <w:rPr>
          <w:rFonts w:ascii="Times New Roman" w:hAnsi="Times New Roman" w:eastAsia="黑体" w:cs="Times New Roman"/>
          <w:sz w:val="32"/>
          <w:szCs w:val="32"/>
        </w:rPr>
      </w:pPr>
    </w:p>
    <w:p>
      <w:pPr>
        <w:pStyle w:val="8"/>
        <w:widowControl w:val="0"/>
        <w:adjustRightInd w:val="0"/>
        <w:snapToGrid w:val="0"/>
        <w:spacing w:before="0" w:beforeAutospacing="0" w:after="0" w:afterAutospacing="0" w:line="600" w:lineRule="exact"/>
        <w:jc w:val="center"/>
        <w:rPr>
          <w:rFonts w:ascii="Times New Roman" w:hAnsi="Times New Roman" w:eastAsia="仿宋_GB2312" w:cs="Times New Roman"/>
          <w:sz w:val="32"/>
          <w:szCs w:val="32"/>
        </w:rPr>
      </w:pPr>
      <w:r>
        <w:rPr>
          <w:rFonts w:ascii="Times New Roman" w:hAnsi="Times New Roman" w:eastAsia="黑体" w:cs="Times New Roman"/>
          <w:sz w:val="32"/>
          <w:szCs w:val="32"/>
        </w:rPr>
        <w:t>第一章　总　则</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黑体"/>
          <w:snapToGrid w:val="0"/>
          <w:kern w:val="0"/>
          <w:sz w:val="32"/>
          <w:szCs w:val="32"/>
        </w:rPr>
        <w:t>第一条</w:t>
      </w:r>
      <w:r>
        <w:rPr>
          <w:rFonts w:ascii="Times New Roman" w:hAnsi="Times New Roman" w:eastAsia="仿宋_GB2312"/>
          <w:snapToGrid w:val="0"/>
          <w:kern w:val="0"/>
          <w:sz w:val="32"/>
          <w:szCs w:val="32"/>
        </w:rPr>
        <w:t xml:space="preserve">  依据农业农村部、国家发展改革委、财政部、商务部、中国人民银行、国家税务总局、中国证券监督管理委员会、中华全国供销合作总社《关于印发农业产业化国家重点龙头企业认定和运行监测管理办法的通知》（农经发〔2018〕</w:t>
      </w:r>
      <w:r>
        <w:rPr>
          <w:rFonts w:hint="eastAsia" w:ascii="Times New Roman" w:hAnsi="Times New Roman" w:eastAsia="仿宋_GB2312"/>
          <w:snapToGrid w:val="0"/>
          <w:kern w:val="0"/>
          <w:sz w:val="32"/>
          <w:szCs w:val="32"/>
        </w:rPr>
        <w:t>1</w:t>
      </w:r>
      <w:r>
        <w:rPr>
          <w:rFonts w:ascii="Times New Roman" w:hAnsi="Times New Roman" w:eastAsia="仿宋_GB2312"/>
          <w:snapToGrid w:val="0"/>
          <w:kern w:val="0"/>
          <w:sz w:val="32"/>
          <w:szCs w:val="32"/>
        </w:rPr>
        <w:t>号）和《安徽省人民政府关于印发安徽省推进农业产业化加快发展实施方案（2017－2021年）的通知》（皖政〔2017〕43号），为推进我省农业产业化经营又好又快发展，进一步规范农业产业化省级重点龙头企业的认定和运行监测工作，加强对省级重点龙头企业的服务与扶持，培育壮大农业产业化重点龙头企业，建立和完善龙头企业与农民利益联结机制，增强辐射带动能力，特制定本办法。</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黑体"/>
          <w:snapToGrid w:val="0"/>
          <w:kern w:val="0"/>
          <w:sz w:val="32"/>
          <w:szCs w:val="32"/>
        </w:rPr>
        <w:t>第二条</w:t>
      </w:r>
      <w:r>
        <w:rPr>
          <w:rFonts w:ascii="Times New Roman" w:hAnsi="Times New Roman" w:eastAsia="仿宋_GB2312"/>
          <w:snapToGrid w:val="0"/>
          <w:kern w:val="0"/>
          <w:sz w:val="32"/>
          <w:szCs w:val="32"/>
        </w:rPr>
        <w:t xml:space="preserve">  安徽省农业产业化省级重点龙头企业（以下简称“省级重点龙头企业”）是指以农产品生产、加工或流通为主业，通过合同、合作、股份合作等利益联结方式直接与农户紧密联系，使农产品生产、加工、销售有机结合、相互促进，在规模和经营指标上达到规定标准并经省农业产业化工作指导委员会认定的农业企业。</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黑体"/>
          <w:snapToGrid w:val="0"/>
          <w:kern w:val="0"/>
          <w:sz w:val="32"/>
          <w:szCs w:val="32"/>
        </w:rPr>
        <w:t xml:space="preserve">第三条 </w:t>
      </w:r>
      <w:r>
        <w:rPr>
          <w:rFonts w:ascii="Times New Roman" w:hAnsi="Times New Roman" w:eastAsia="仿宋_GB2312"/>
          <w:snapToGrid w:val="0"/>
          <w:kern w:val="0"/>
          <w:sz w:val="32"/>
          <w:szCs w:val="32"/>
        </w:rPr>
        <w:t xml:space="preserve"> 对省级重点龙头企业的认定和运行监测工作要遵循市场经济规律，引进竞争淘汰机制，强化农业产业化主管部门职能，加强日常监督管理，发挥中介组织和专家的作用，坚持公开、公平、公正原则，不干预企业经营自主权。</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黑体"/>
          <w:snapToGrid w:val="0"/>
          <w:kern w:val="0"/>
          <w:sz w:val="32"/>
          <w:szCs w:val="32"/>
        </w:rPr>
        <w:t>第四条</w:t>
      </w:r>
      <w:r>
        <w:rPr>
          <w:rFonts w:ascii="Times New Roman" w:hAnsi="Times New Roman" w:eastAsia="仿宋_GB2312"/>
          <w:snapToGrid w:val="0"/>
          <w:kern w:val="0"/>
          <w:sz w:val="32"/>
          <w:szCs w:val="32"/>
        </w:rPr>
        <w:t xml:space="preserve">  凡申报或已获准作为省级重点龙头企业的企业，适用本办法。</w:t>
      </w:r>
    </w:p>
    <w:p>
      <w:pPr>
        <w:pStyle w:val="8"/>
        <w:widowControl w:val="0"/>
        <w:adjustRightInd w:val="0"/>
        <w:snapToGrid w:val="0"/>
        <w:spacing w:before="0" w:beforeAutospacing="0" w:after="0" w:afterAutospacing="0" w:line="600" w:lineRule="exact"/>
        <w:ind w:firstLine="640" w:firstLineChars="200"/>
        <w:jc w:val="both"/>
        <w:rPr>
          <w:rFonts w:ascii="Times New Roman" w:hAnsi="Times New Roman" w:eastAsia="黑体" w:cs="Times New Roman"/>
          <w:snapToGrid w:val="0"/>
          <w:sz w:val="32"/>
          <w:szCs w:val="32"/>
        </w:rPr>
      </w:pPr>
      <w:r>
        <w:rPr>
          <w:rFonts w:ascii="Times New Roman" w:hAnsi="Times New Roman" w:eastAsia="黑体" w:cs="Times New Roman"/>
          <w:snapToGrid w:val="0"/>
          <w:sz w:val="32"/>
          <w:szCs w:val="32"/>
        </w:rPr>
        <w:t xml:space="preserve"> </w:t>
      </w:r>
    </w:p>
    <w:p>
      <w:pPr>
        <w:pStyle w:val="8"/>
        <w:widowControl w:val="0"/>
        <w:adjustRightInd w:val="0"/>
        <w:snapToGrid w:val="0"/>
        <w:spacing w:before="0" w:beforeAutospacing="0" w:after="0" w:afterAutospacing="0" w:line="60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 xml:space="preserve">第二章　申　报 </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黑体"/>
          <w:snapToGrid w:val="0"/>
          <w:kern w:val="0"/>
          <w:sz w:val="32"/>
          <w:szCs w:val="32"/>
        </w:rPr>
        <w:t>第五条</w:t>
      </w:r>
      <w:r>
        <w:rPr>
          <w:rFonts w:ascii="Times New Roman" w:hAnsi="Times New Roman" w:eastAsia="仿宋_GB2312"/>
          <w:snapToGrid w:val="0"/>
          <w:kern w:val="0"/>
          <w:sz w:val="32"/>
          <w:szCs w:val="32"/>
        </w:rPr>
        <w:t xml:space="preserve">  申报企业应符合以下基本标准：</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1．企业组织形式。依法设立的以农产品生产、加工或流通为主业、具有独立法人资格的企业。包括依照《公司法》设立的公司，其他形式的国有、集体、私营企业以及中外合资经营、中外合作经营、外商独资企业，直接在工商行政管理部门注册登记的农产品专业批发市场等。</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2．企业经营的产品。企业中农产品生产、加工、流通的销售收入（交易额）占总销售收入（总交易额）70％以上。</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3．生产、加工、流通企业规模。总资产规模1亿元以上，固定资产规模2000万元以上，年销售收入1.3亿元以上。特色产业原则要求总资产规模8000万元以上，固定资产规模1500万元以上，年销售收入1亿元以上。</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4．农产品专业批发市场年交易规模10亿元以上。</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5．企业效益。企业的总资产报酬率应高于现行一年期银行贷款基准利率；企业诚信守法经营，应按时发放工资、按时缴纳社会保险、按月计提固定资产折旧，无重大涉税违法行为，产销率达93%以上。</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6．企业负债与信用。企业资产负债率一般应低于60％；有银行贷款的企业，近2年内不得有不良信用记录。</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7．企业带动能力。鼓励龙头企业通过农民专业合作社、家庭农场等新型农业经营主体直接带动农户。通过建立合同、合作、股份合作等利益联结方式带动农户的数量一般应达到3000户以上。</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企业从事农产品生产、加工、流通过程中，通过合同、合作和股份合作方式从农民、新型农业经营主体或自建基地直接采购的原料或购进的货物占所需原料量或所销售货物量的70％以上。</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8．企业产品竞争力。在同行业中企业的产品质量、产品科技含量、新产品开发能力处于领先水平，企业有注册商标和品牌。产品符合国家产业政策、环保政策和绿色发展要求，并获得相关质量管理标准体系认证，近2年内没有发生产品质量安全事件。</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9．申报企业原则上是农业产业化市级重点龙头企业。</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黑体"/>
          <w:snapToGrid w:val="0"/>
          <w:kern w:val="0"/>
          <w:sz w:val="32"/>
          <w:szCs w:val="32"/>
        </w:rPr>
        <w:t>第六条</w:t>
      </w:r>
      <w:r>
        <w:rPr>
          <w:rFonts w:ascii="Times New Roman" w:hAnsi="Times New Roman" w:eastAsia="仿宋_GB2312"/>
          <w:snapToGrid w:val="0"/>
          <w:kern w:val="0"/>
          <w:sz w:val="32"/>
          <w:szCs w:val="32"/>
        </w:rPr>
        <w:t xml:space="preserve">  符合本办法第五条第1、2、3、5、6、7、8、9款要求的生产、加工、流通企业可以申报作为省级重点龙头企业；符合本办法第五条第1、2、4、5、6、8、9款要求的农产品专业批发市场可以申报作为省级重点龙头企业。</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符合本办法第五条第1、2、6、8、9款要求，以及第5款中“企业诚信守法经营，应按时发放工资、按时缴纳社会保险、按月计提固定资产折旧，无重大涉税违法行为，产销率达93%以上”要求；且企业成立3年以上，年销售收入10亿元以上，以互联网方式销售农产品收入占农产品销售收入之比达到60%以上，从农民、新型农业经营主体、自建基地或省级以上一村一品示范村镇直接采购的农产品占所销售农产品总量的比例达到50％以上，带动农户数量2000户以上农产品电商企业，可以申报省级重点龙头企业。</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鼓励具有自主知识产权、科技创新能力强、资源优势明显、产业增值效益大、自觉履行社会责任并紧密带动农户的农业企业申报省级重点龙头企业。鼓励促进农村一二三产业融合发展、推进农业供给侧结构性改革、参与乡村振兴以及发展农业产业化联合体、创建农业产业化示范基地的农业企业申报省级重点龙头企业。对申报前2年销售收入增长都不低于30%，以及与建档立卡贫困户建立稳定农产品产销关系或者帮扶关系的农业企业优先支持申报。</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黑体"/>
          <w:snapToGrid w:val="0"/>
          <w:kern w:val="0"/>
          <w:sz w:val="32"/>
          <w:szCs w:val="32"/>
        </w:rPr>
        <w:t xml:space="preserve">第七条 </w:t>
      </w:r>
      <w:r>
        <w:rPr>
          <w:rFonts w:ascii="Times New Roman" w:hAnsi="Times New Roman" w:eastAsia="仿宋_GB2312"/>
          <w:snapToGrid w:val="0"/>
          <w:kern w:val="0"/>
          <w:sz w:val="32"/>
          <w:szCs w:val="32"/>
        </w:rPr>
        <w:t xml:space="preserve"> 申报材料。申报企业应提供企业的基本情况并按照本办法第五条要求提供有关申报材料。</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1．企业的资产和效益情况须经有资质的会计师事务所审定。</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2．企业须提供资信情况证明。</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3．企业的带动能力、带动方式和利益联结关系情况须由县以上农村经营管理部门提供说明，应将企业带动农户情况进行公示，接受社会监督。</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4．企业的纳税情况须由企业所在地税务部门出具企业近3年内纳税情况证明。</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5．企业产品质量安全情况须由所在地农业或其他法定监管部门提供书面证明。</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黑体"/>
          <w:snapToGrid w:val="0"/>
          <w:kern w:val="0"/>
          <w:sz w:val="32"/>
          <w:szCs w:val="32"/>
        </w:rPr>
        <w:t>第八条</w:t>
      </w:r>
      <w:r>
        <w:rPr>
          <w:rFonts w:ascii="Times New Roman" w:hAnsi="Times New Roman" w:eastAsia="仿宋_GB2312"/>
          <w:snapToGrid w:val="0"/>
          <w:kern w:val="0"/>
          <w:sz w:val="32"/>
          <w:szCs w:val="32"/>
        </w:rPr>
        <w:t xml:space="preserve">  申报程序：</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1．申报由县（市、区）农业产业化工作主管部门组织辖区内企业提出申请。</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2．各市农业产业化工作主管部门对申报企业进行综合考察，对所报材料的真实性进行审核。</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3．各市农业产业化工作主管部门应充分征求农业、发改、财政、商务、人民银行、税务、供销合作社等部门对申报企业的意见，并经市人民政府同意，按规定正式行文向省农业产业化工作指导委员会办公室推荐，并附审核意见和相关材料。</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黑体"/>
          <w:snapToGrid w:val="0"/>
          <w:kern w:val="0"/>
          <w:sz w:val="32"/>
          <w:szCs w:val="32"/>
        </w:rPr>
        <w:t>第九条</w:t>
      </w:r>
      <w:r>
        <w:rPr>
          <w:rFonts w:ascii="Times New Roman" w:hAnsi="Times New Roman" w:eastAsia="仿宋_GB2312"/>
          <w:snapToGrid w:val="0"/>
          <w:kern w:val="0"/>
          <w:sz w:val="32"/>
          <w:szCs w:val="32"/>
        </w:rPr>
        <w:t xml:space="preserve">  省属企业根据属地原则，按照本办法第八条申报程序申报。</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 xml:space="preserve"> </w:t>
      </w:r>
    </w:p>
    <w:p>
      <w:pPr>
        <w:pStyle w:val="8"/>
        <w:widowControl w:val="0"/>
        <w:adjustRightInd w:val="0"/>
        <w:snapToGrid w:val="0"/>
        <w:spacing w:before="0" w:beforeAutospacing="0" w:after="0" w:afterAutospacing="0" w:line="60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 xml:space="preserve">第三章　认　定 </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黑体"/>
          <w:snapToGrid w:val="0"/>
          <w:kern w:val="0"/>
          <w:sz w:val="32"/>
          <w:szCs w:val="32"/>
        </w:rPr>
        <w:t>第十条</w:t>
      </w:r>
      <w:r>
        <w:rPr>
          <w:rFonts w:ascii="Times New Roman" w:hAnsi="Times New Roman" w:eastAsia="仿宋_GB2312"/>
          <w:snapToGrid w:val="0"/>
          <w:kern w:val="0"/>
          <w:sz w:val="32"/>
          <w:szCs w:val="32"/>
        </w:rPr>
        <w:t xml:space="preserve">  省级重点龙头企业评审认定和运行监测工作由省农业产业化工作指导委员会办公室组织。</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黑体"/>
          <w:snapToGrid w:val="0"/>
          <w:kern w:val="0"/>
          <w:sz w:val="32"/>
          <w:szCs w:val="32"/>
        </w:rPr>
        <w:t>第十一条</w:t>
      </w:r>
      <w:r>
        <w:rPr>
          <w:rFonts w:ascii="Times New Roman" w:hAnsi="Times New Roman" w:eastAsia="仿宋_GB2312"/>
          <w:snapToGrid w:val="0"/>
          <w:kern w:val="0"/>
          <w:sz w:val="32"/>
          <w:szCs w:val="32"/>
        </w:rPr>
        <w:t xml:space="preserve">  省级重点龙头企业认定程序和办法：</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1．省农业产业化工作指导委员会办公室按照省级重点龙头企业的标准，对各市农业产业化工作主管部门上报的企业有关材料进行审核，提出审核意见。</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2．省农业产业化工作指导委员会办公室协商省农业产业化工作指导委员会有关单位组成专家组，按照省级重点龙头企业认定办法进行评审，提出评审意见。</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3．省农业产业化工作指导委员会办公室汇总专家组评审意见，经公示无异议，报省农业产业化工作指导委员会审定。</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4．省农业产业化工作指导委员会审定，认定为省级重点龙头企业，由省农业产业化工作指导委员会发文公布名单，并颁发牌匾、证书。</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黑体"/>
          <w:snapToGrid w:val="0"/>
          <w:kern w:val="0"/>
          <w:sz w:val="32"/>
          <w:szCs w:val="32"/>
        </w:rPr>
        <w:t>第十二条</w:t>
      </w:r>
      <w:r>
        <w:rPr>
          <w:rFonts w:ascii="Times New Roman" w:hAnsi="Times New Roman" w:eastAsia="仿宋_GB2312"/>
          <w:snapToGrid w:val="0"/>
          <w:kern w:val="0"/>
          <w:sz w:val="32"/>
          <w:szCs w:val="32"/>
        </w:rPr>
        <w:t xml:space="preserve">  经认定公布的省级重点龙头企业，享受有关优惠政策。省级重点龙头企业所属的控股子公司，其直接控股比例超过50%（不含50%）的，且控股子公司以农产品生产、加工或流通为主业，可享受省级重点龙头企业的有关优惠政策。</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 xml:space="preserve"> </w:t>
      </w:r>
    </w:p>
    <w:p>
      <w:pPr>
        <w:pStyle w:val="8"/>
        <w:widowControl w:val="0"/>
        <w:adjustRightInd w:val="0"/>
        <w:snapToGrid w:val="0"/>
        <w:spacing w:before="0" w:beforeAutospacing="0" w:after="0" w:afterAutospacing="0" w:line="60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 xml:space="preserve">第四章　运行监测 </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黑体"/>
          <w:snapToGrid w:val="0"/>
          <w:kern w:val="0"/>
          <w:sz w:val="32"/>
          <w:szCs w:val="32"/>
        </w:rPr>
        <w:t>第十三条</w:t>
      </w:r>
      <w:r>
        <w:rPr>
          <w:rFonts w:ascii="Times New Roman" w:hAnsi="Times New Roman" w:eastAsia="仿宋_GB2312"/>
          <w:snapToGrid w:val="0"/>
          <w:kern w:val="0"/>
          <w:sz w:val="32"/>
          <w:szCs w:val="32"/>
        </w:rPr>
        <w:t xml:space="preserve">  对省级重点龙头企业实行动态管理，建立竞争淘汰机制，做到有出有进、适量增补。</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黑体"/>
          <w:snapToGrid w:val="0"/>
          <w:kern w:val="0"/>
          <w:sz w:val="32"/>
          <w:szCs w:val="32"/>
        </w:rPr>
        <w:t>第十四条</w:t>
      </w:r>
      <w:r>
        <w:rPr>
          <w:rFonts w:ascii="Times New Roman" w:hAnsi="Times New Roman" w:eastAsia="仿宋_GB2312"/>
          <w:snapToGrid w:val="0"/>
          <w:kern w:val="0"/>
          <w:sz w:val="32"/>
          <w:szCs w:val="32"/>
        </w:rPr>
        <w:t xml:space="preserve">  建立省级重点龙头企业动态监测管理制度，每两年进行一次监测评估。省级重点龙头企业应按要求正确、及时报送企业生产经营、带动农户等情况，为企业的进出提供依据，为有关政策的制定提供参考。</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黑体"/>
          <w:snapToGrid w:val="0"/>
          <w:kern w:val="0"/>
          <w:sz w:val="32"/>
          <w:szCs w:val="32"/>
        </w:rPr>
        <w:t>第十五条</w:t>
      </w:r>
      <w:r>
        <w:rPr>
          <w:rFonts w:ascii="Times New Roman" w:hAnsi="Times New Roman" w:eastAsia="仿宋_GB2312"/>
          <w:snapToGrid w:val="0"/>
          <w:kern w:val="0"/>
          <w:sz w:val="32"/>
          <w:szCs w:val="32"/>
        </w:rPr>
        <w:t xml:space="preserve">  省农业产业化工作指导委员会加强对省级重点龙头企业经济运行情况的跟踪调查，采取定期统计、情况调度、实地考察、随机抽查、重点督查等方式，及时了解企业基地建设、生产加工、市场销售、带农增收、质量安全等方面情况，帮助省级重点龙头企业解决发展中遇到的突出困难，完善相关扶持政策。</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黑体"/>
          <w:snapToGrid w:val="0"/>
          <w:kern w:val="0"/>
          <w:sz w:val="32"/>
          <w:szCs w:val="32"/>
        </w:rPr>
        <w:t>第十六条</w:t>
      </w:r>
      <w:r>
        <w:rPr>
          <w:rFonts w:ascii="Times New Roman" w:hAnsi="Times New Roman" w:eastAsia="仿宋_GB2312"/>
          <w:snapToGrid w:val="0"/>
          <w:kern w:val="0"/>
          <w:sz w:val="32"/>
          <w:szCs w:val="32"/>
        </w:rPr>
        <w:t xml:space="preserve">  监测评估的具体办法</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1．企业报送材料。省级重点龙头企业按照省农业产业化工作指导委员会的要求报送企业经济运行情况，作为监测评估的重要依据。在监测年份，除报送企业经济运行情况表和年度发展报告外，还需报送经有资质的会计师事务所审定的企业资产和效益情况，企业的资信证明、纳税情况证明、质量安全情况证明，县以上农村经营管理部门提供的企业带动农户情况、社会责任履行情况说明，应享受优惠政策的落实情况等。</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2．市级材料汇总与核查。各市农业产业化主管部门对所辖省级重点龙头企业所报材料进行汇总、核查。核查无误后，报省农业产业化指导委员会办公室。</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3．省级审核与评审。按照本办法委托中介机构根据企业报送的材料进行审核，并组织专家组评审，提出评审意见。</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4．监测结果审定。根据专家组的评审意见，省农业产业化</w:t>
      </w:r>
      <w:r>
        <w:rPr>
          <w:rFonts w:hint="eastAsia" w:ascii="Times New Roman" w:hAnsi="Times New Roman" w:eastAsia="仿宋_GB2312"/>
          <w:snapToGrid w:val="0"/>
          <w:kern w:val="0"/>
          <w:sz w:val="32"/>
          <w:szCs w:val="32"/>
        </w:rPr>
        <w:t>工作</w:t>
      </w:r>
      <w:r>
        <w:rPr>
          <w:rFonts w:ascii="Times New Roman" w:hAnsi="Times New Roman" w:eastAsia="仿宋_GB2312"/>
          <w:snapToGrid w:val="0"/>
          <w:kern w:val="0"/>
          <w:sz w:val="32"/>
          <w:szCs w:val="32"/>
        </w:rPr>
        <w:t>指导委员会办公室拟制监测报告并提交省农业产业化</w:t>
      </w:r>
      <w:r>
        <w:rPr>
          <w:rFonts w:hint="eastAsia" w:ascii="Times New Roman" w:hAnsi="Times New Roman" w:eastAsia="仿宋_GB2312"/>
          <w:snapToGrid w:val="0"/>
          <w:kern w:val="0"/>
          <w:sz w:val="32"/>
          <w:szCs w:val="32"/>
        </w:rPr>
        <w:t>工作</w:t>
      </w:r>
      <w:r>
        <w:rPr>
          <w:rFonts w:ascii="Times New Roman" w:hAnsi="Times New Roman" w:eastAsia="仿宋_GB2312"/>
          <w:snapToGrid w:val="0"/>
          <w:kern w:val="0"/>
          <w:sz w:val="32"/>
          <w:szCs w:val="32"/>
        </w:rPr>
        <w:t>指导委员会会议审定。</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5．对因违法违规发生重大质量安全事故、上市违规操作、存在坑农害农等违法违规行为，或被公布为重大税收违法案件当事人的，取消其省级重点龙头企业资格。</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黑体"/>
          <w:snapToGrid w:val="0"/>
          <w:kern w:val="0"/>
          <w:sz w:val="32"/>
          <w:szCs w:val="32"/>
        </w:rPr>
        <w:t>第十七条</w:t>
      </w:r>
      <w:r>
        <w:rPr>
          <w:rFonts w:ascii="Times New Roman" w:hAnsi="Times New Roman" w:eastAsia="仿宋_GB2312"/>
          <w:snapToGrid w:val="0"/>
          <w:kern w:val="0"/>
          <w:sz w:val="32"/>
          <w:szCs w:val="32"/>
        </w:rPr>
        <w:t xml:space="preserve">  监测合格的省级重点龙头企业，继续保留资格，享受有关优惠政策；监测不合格的，取消其省级重点龙头企业资格，不再享受有关优惠政策。省农业产业化</w:t>
      </w:r>
      <w:r>
        <w:rPr>
          <w:rFonts w:hint="eastAsia" w:ascii="Times New Roman" w:hAnsi="Times New Roman" w:eastAsia="仿宋_GB2312"/>
          <w:snapToGrid w:val="0"/>
          <w:kern w:val="0"/>
          <w:sz w:val="32"/>
          <w:szCs w:val="32"/>
        </w:rPr>
        <w:t>工作</w:t>
      </w:r>
      <w:r>
        <w:rPr>
          <w:rFonts w:ascii="Times New Roman" w:hAnsi="Times New Roman" w:eastAsia="仿宋_GB2312"/>
          <w:snapToGrid w:val="0"/>
          <w:kern w:val="0"/>
          <w:sz w:val="32"/>
          <w:szCs w:val="32"/>
        </w:rPr>
        <w:t>指导委员会办公室以适当形式向社会公布监测结果。</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 xml:space="preserve"> </w:t>
      </w:r>
    </w:p>
    <w:p>
      <w:pPr>
        <w:pStyle w:val="8"/>
        <w:widowControl w:val="0"/>
        <w:adjustRightInd w:val="0"/>
        <w:snapToGrid w:val="0"/>
        <w:spacing w:before="0" w:beforeAutospacing="0" w:after="0" w:afterAutospacing="0" w:line="60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第五章　附　则</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黑体"/>
          <w:snapToGrid w:val="0"/>
          <w:kern w:val="0"/>
          <w:sz w:val="32"/>
          <w:szCs w:val="32"/>
        </w:rPr>
        <w:t>第十八条</w:t>
      </w:r>
      <w:r>
        <w:rPr>
          <w:rFonts w:ascii="Times New Roman" w:hAnsi="Times New Roman" w:eastAsia="仿宋_GB2312"/>
          <w:snapToGrid w:val="0"/>
          <w:kern w:val="0"/>
          <w:sz w:val="32"/>
          <w:szCs w:val="32"/>
        </w:rPr>
        <w:t xml:space="preserve">  省级重点龙头企业及申报省级重点龙头企业的企业应按要求如实提供有关材料，不得弄虚作假。如存在舞弊行为，一经查实，已经认定的企业取消其省级重点龙头企业资格；未经认定的取消其申报资格，4年内不得再行申报。</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黑体"/>
          <w:snapToGrid w:val="0"/>
          <w:kern w:val="0"/>
          <w:sz w:val="32"/>
          <w:szCs w:val="32"/>
        </w:rPr>
        <w:t>第十九条</w:t>
      </w:r>
      <w:r>
        <w:rPr>
          <w:rFonts w:ascii="Times New Roman" w:hAnsi="Times New Roman" w:eastAsia="仿宋_GB2312"/>
          <w:snapToGrid w:val="0"/>
          <w:kern w:val="0"/>
          <w:sz w:val="32"/>
          <w:szCs w:val="32"/>
        </w:rPr>
        <w:t xml:space="preserve">  省级重点龙头企业要及时提供有关企业运行情况的材料。对不认真、不及时上报的企业给予警告，并作为监测考核的重要依据。</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黑体"/>
          <w:snapToGrid w:val="0"/>
          <w:kern w:val="0"/>
          <w:sz w:val="32"/>
          <w:szCs w:val="32"/>
        </w:rPr>
        <w:t xml:space="preserve">第二十条 </w:t>
      </w:r>
      <w:r>
        <w:rPr>
          <w:rFonts w:ascii="Times New Roman" w:hAnsi="Times New Roman" w:eastAsia="仿宋_GB2312"/>
          <w:snapToGrid w:val="0"/>
          <w:kern w:val="0"/>
          <w:sz w:val="32"/>
          <w:szCs w:val="32"/>
        </w:rPr>
        <w:t xml:space="preserve"> 对在申报、认定、监测评审工作中，不坚持公开、公平、公正原则，存在徇私舞弊行为的有关人员，要按有关党纪政纪规定予以严肃查处。</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黑体"/>
          <w:snapToGrid w:val="0"/>
          <w:kern w:val="0"/>
          <w:sz w:val="32"/>
          <w:szCs w:val="32"/>
        </w:rPr>
        <w:t>第二十一条</w:t>
      </w:r>
      <w:r>
        <w:rPr>
          <w:rFonts w:ascii="Times New Roman" w:hAnsi="Times New Roman" w:eastAsia="仿宋_GB2312"/>
          <w:snapToGrid w:val="0"/>
          <w:kern w:val="0"/>
          <w:sz w:val="32"/>
          <w:szCs w:val="32"/>
        </w:rPr>
        <w:t xml:space="preserve">  省级重点龙头企业更改企业名称，应出具工商行政管理部门的营业执照等更名材料，由市级农业产业化工作主管部门提出审查意见，报省农业产业化</w:t>
      </w:r>
      <w:r>
        <w:rPr>
          <w:rFonts w:hint="eastAsia" w:ascii="Times New Roman" w:hAnsi="Times New Roman" w:eastAsia="仿宋_GB2312"/>
          <w:snapToGrid w:val="0"/>
          <w:kern w:val="0"/>
          <w:sz w:val="32"/>
          <w:szCs w:val="32"/>
        </w:rPr>
        <w:t>工作</w:t>
      </w:r>
      <w:r>
        <w:rPr>
          <w:rFonts w:ascii="Times New Roman" w:hAnsi="Times New Roman" w:eastAsia="仿宋_GB2312"/>
          <w:snapToGrid w:val="0"/>
          <w:kern w:val="0"/>
          <w:sz w:val="32"/>
          <w:szCs w:val="32"/>
        </w:rPr>
        <w:t>指导委员会办公室予以审核确认。</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黑体"/>
          <w:snapToGrid w:val="0"/>
          <w:kern w:val="0"/>
          <w:sz w:val="32"/>
          <w:szCs w:val="32"/>
        </w:rPr>
        <w:t>第二十二条</w:t>
      </w:r>
      <w:r>
        <w:rPr>
          <w:rFonts w:ascii="Times New Roman" w:hAnsi="Times New Roman" w:eastAsia="仿宋_GB2312"/>
          <w:snapToGrid w:val="0"/>
          <w:kern w:val="0"/>
          <w:sz w:val="32"/>
          <w:szCs w:val="32"/>
        </w:rPr>
        <w:t xml:space="preserve">  市级农业产业化主管部门应根据本办法，制定农业产业化市级重点龙头企业有关管理办法，并指导县（市、区）农业产业化主管部门制定县级重点龙头企业有关管理办法，开展农业产业化重点龙头企业认定和运行监测工作。</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黑体"/>
          <w:snapToGrid w:val="0"/>
          <w:kern w:val="0"/>
          <w:sz w:val="32"/>
          <w:szCs w:val="32"/>
        </w:rPr>
        <w:t>第二十三条</w:t>
      </w:r>
      <w:r>
        <w:rPr>
          <w:rFonts w:ascii="Times New Roman" w:hAnsi="Times New Roman" w:eastAsia="仿宋_GB2312"/>
          <w:snapToGrid w:val="0"/>
          <w:kern w:val="0"/>
          <w:sz w:val="32"/>
          <w:szCs w:val="32"/>
        </w:rPr>
        <w:t xml:space="preserve">  本办法由省农业产业化</w:t>
      </w:r>
      <w:r>
        <w:rPr>
          <w:rFonts w:hint="eastAsia" w:ascii="Times New Roman" w:hAnsi="Times New Roman" w:eastAsia="仿宋_GB2312"/>
          <w:snapToGrid w:val="0"/>
          <w:kern w:val="0"/>
          <w:sz w:val="32"/>
          <w:szCs w:val="32"/>
        </w:rPr>
        <w:t>工作</w:t>
      </w:r>
      <w:r>
        <w:rPr>
          <w:rFonts w:ascii="Times New Roman" w:hAnsi="Times New Roman" w:eastAsia="仿宋_GB2312"/>
          <w:snapToGrid w:val="0"/>
          <w:kern w:val="0"/>
          <w:sz w:val="32"/>
          <w:szCs w:val="32"/>
        </w:rPr>
        <w:t>指导委员会办公室负责解释。</w:t>
      </w:r>
    </w:p>
    <w:p>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黑体"/>
          <w:snapToGrid w:val="0"/>
          <w:kern w:val="0"/>
          <w:sz w:val="32"/>
          <w:szCs w:val="32"/>
        </w:rPr>
        <w:t>第二十四条</w:t>
      </w:r>
      <w:r>
        <w:rPr>
          <w:rFonts w:ascii="Times New Roman" w:hAnsi="Times New Roman" w:eastAsia="仿宋_GB2312"/>
          <w:snapToGrid w:val="0"/>
          <w:kern w:val="0"/>
          <w:sz w:val="32"/>
          <w:szCs w:val="32"/>
        </w:rPr>
        <w:t xml:space="preserve">  本办法自发布之日起施行。</w:t>
      </w:r>
    </w:p>
    <w:p>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 </w:t>
      </w:r>
    </w:p>
    <w:p>
      <w:pPr>
        <w:rPr>
          <w:rFonts w:ascii="Times New Roman" w:hAnsi="Times New Roman" w:eastAsia="仿宋"/>
          <w:sz w:val="32"/>
        </w:rPr>
      </w:pPr>
    </w:p>
    <w:p>
      <w:pPr>
        <w:rPr>
          <w:rFonts w:ascii="Times New Roman" w:hAnsi="Times New Roman" w:eastAsia="仿宋"/>
          <w:sz w:val="32"/>
        </w:rPr>
      </w:pPr>
    </w:p>
    <w:p>
      <w:pPr>
        <w:rPr>
          <w:rFonts w:ascii="Times New Roman" w:hAnsi="Times New Roman" w:eastAsia="仿宋"/>
          <w:sz w:val="32"/>
        </w:rPr>
      </w:pPr>
    </w:p>
    <w:p>
      <w:pPr>
        <w:pStyle w:val="3"/>
        <w:spacing w:line="200" w:lineRule="exact"/>
        <w:ind w:left="1157" w:leftChars="1" w:hanging="1155" w:hangingChars="361"/>
        <w:rPr>
          <w:rFonts w:hint="default" w:ascii="Times New Roman" w:eastAsia="方正小标宋简体"/>
          <w:szCs w:val="32"/>
        </w:rPr>
      </w:pPr>
    </w:p>
    <w:p>
      <w:pPr>
        <w:pStyle w:val="3"/>
        <w:spacing w:line="200" w:lineRule="exact"/>
        <w:ind w:left="1157" w:leftChars="1" w:hanging="1155" w:hangingChars="361"/>
        <w:rPr>
          <w:rFonts w:hint="default" w:ascii="Times New Roman" w:eastAsia="方正小标宋简体"/>
          <w:szCs w:val="32"/>
        </w:rPr>
      </w:pPr>
    </w:p>
    <w:p>
      <w:pPr>
        <w:pStyle w:val="3"/>
        <w:spacing w:line="200" w:lineRule="exact"/>
        <w:ind w:left="1157" w:leftChars="1" w:hanging="1155" w:hangingChars="361"/>
        <w:rPr>
          <w:rFonts w:hint="default" w:ascii="Times New Roman" w:eastAsia="方正小标宋简体"/>
          <w:szCs w:val="32"/>
        </w:rPr>
      </w:pPr>
    </w:p>
    <w:p>
      <w:pPr>
        <w:pStyle w:val="3"/>
        <w:spacing w:line="200" w:lineRule="exact"/>
        <w:ind w:left="1157" w:leftChars="1" w:hanging="1155" w:hangingChars="361"/>
        <w:rPr>
          <w:rFonts w:hint="default" w:ascii="Times New Roman" w:eastAsia="方正小标宋简体"/>
          <w:szCs w:val="32"/>
        </w:rPr>
      </w:pPr>
    </w:p>
    <w:p>
      <w:pPr>
        <w:pStyle w:val="3"/>
        <w:spacing w:line="200" w:lineRule="exact"/>
        <w:ind w:left="1157" w:leftChars="1" w:hanging="1155" w:hangingChars="361"/>
        <w:rPr>
          <w:rFonts w:hint="default" w:ascii="Times New Roman" w:eastAsia="方正小标宋简体"/>
          <w:szCs w:val="32"/>
        </w:rPr>
      </w:pPr>
    </w:p>
    <w:p>
      <w:pPr>
        <w:pStyle w:val="3"/>
        <w:spacing w:line="200" w:lineRule="exact"/>
        <w:ind w:left="1157" w:leftChars="1" w:hanging="1155" w:hangingChars="361"/>
        <w:rPr>
          <w:rFonts w:hint="default" w:ascii="Times New Roman" w:eastAsia="方正小标宋简体"/>
          <w:szCs w:val="32"/>
        </w:rPr>
      </w:pPr>
    </w:p>
    <w:p>
      <w:pPr>
        <w:pStyle w:val="3"/>
        <w:spacing w:line="200" w:lineRule="exact"/>
        <w:ind w:left="1157" w:leftChars="1" w:hanging="1155" w:hangingChars="361"/>
        <w:rPr>
          <w:rFonts w:hint="default" w:ascii="Times New Roman" w:eastAsia="方正小标宋简体"/>
          <w:szCs w:val="32"/>
        </w:rPr>
      </w:pPr>
    </w:p>
    <w:p>
      <w:pPr>
        <w:pStyle w:val="3"/>
        <w:spacing w:line="200" w:lineRule="exact"/>
        <w:ind w:left="1157" w:leftChars="1" w:hanging="1155" w:hangingChars="361"/>
        <w:rPr>
          <w:rFonts w:hint="default" w:ascii="Times New Roman" w:eastAsia="方正小标宋简体"/>
          <w:szCs w:val="32"/>
        </w:rPr>
      </w:pPr>
    </w:p>
    <w:p>
      <w:pPr>
        <w:pStyle w:val="3"/>
        <w:spacing w:line="200" w:lineRule="exact"/>
        <w:ind w:left="1157" w:leftChars="1" w:hanging="1155" w:hangingChars="361"/>
        <w:rPr>
          <w:rFonts w:hint="default" w:ascii="Times New Roman" w:eastAsia="方正小标宋简体"/>
          <w:szCs w:val="32"/>
        </w:rPr>
      </w:pPr>
    </w:p>
    <w:p>
      <w:pPr>
        <w:pStyle w:val="3"/>
        <w:spacing w:line="200" w:lineRule="exact"/>
        <w:ind w:left="1157" w:leftChars="1" w:hanging="1155" w:hangingChars="361"/>
        <w:rPr>
          <w:rFonts w:hint="default" w:ascii="Times New Roman" w:eastAsia="方正小标宋简体"/>
          <w:szCs w:val="32"/>
        </w:rPr>
      </w:pPr>
    </w:p>
    <w:p>
      <w:pPr>
        <w:pStyle w:val="3"/>
        <w:spacing w:line="200" w:lineRule="exact"/>
        <w:ind w:left="1157" w:leftChars="1" w:hanging="1155" w:hangingChars="361"/>
        <w:rPr>
          <w:rFonts w:hint="default" w:ascii="Times New Roman" w:eastAsia="方正小标宋简体"/>
          <w:szCs w:val="32"/>
        </w:rPr>
      </w:pPr>
    </w:p>
    <w:p>
      <w:pPr>
        <w:pStyle w:val="3"/>
        <w:spacing w:line="200" w:lineRule="exact"/>
        <w:ind w:left="1157" w:leftChars="1" w:hanging="1155" w:hangingChars="361"/>
        <w:rPr>
          <w:rFonts w:hint="default" w:ascii="Times New Roman" w:eastAsia="方正小标宋简体"/>
          <w:szCs w:val="32"/>
        </w:rPr>
      </w:pPr>
    </w:p>
    <w:p>
      <w:pPr>
        <w:pStyle w:val="3"/>
        <w:spacing w:line="200" w:lineRule="exact"/>
        <w:ind w:left="1157" w:leftChars="1" w:hanging="1155" w:hangingChars="361"/>
        <w:rPr>
          <w:rFonts w:hint="default" w:ascii="Times New Roman" w:eastAsia="方正小标宋简体"/>
          <w:szCs w:val="32"/>
        </w:rPr>
      </w:pPr>
    </w:p>
    <w:p>
      <w:pPr>
        <w:pStyle w:val="3"/>
        <w:spacing w:line="200" w:lineRule="exact"/>
        <w:ind w:left="1157" w:leftChars="1" w:hanging="1155" w:hangingChars="361"/>
        <w:rPr>
          <w:rFonts w:hint="default" w:ascii="Times New Roman" w:eastAsia="方正小标宋简体"/>
          <w:szCs w:val="32"/>
        </w:rPr>
      </w:pPr>
    </w:p>
    <w:p>
      <w:pPr>
        <w:pStyle w:val="3"/>
        <w:spacing w:line="200" w:lineRule="exact"/>
        <w:ind w:left="1157" w:leftChars="1" w:hanging="1155" w:hangingChars="361"/>
        <w:rPr>
          <w:rFonts w:hint="default" w:ascii="Times New Roman" w:eastAsia="方正小标宋简体"/>
          <w:szCs w:val="32"/>
        </w:rPr>
      </w:pPr>
    </w:p>
    <w:p>
      <w:pPr>
        <w:pStyle w:val="3"/>
        <w:spacing w:line="200" w:lineRule="exact"/>
        <w:ind w:left="1157" w:leftChars="1" w:hanging="1155" w:hangingChars="361"/>
        <w:rPr>
          <w:rFonts w:hint="default" w:ascii="Times New Roman" w:eastAsia="方正小标宋简体"/>
          <w:szCs w:val="32"/>
        </w:rPr>
      </w:pPr>
    </w:p>
    <w:p>
      <w:pPr>
        <w:pStyle w:val="3"/>
        <w:spacing w:line="200" w:lineRule="exact"/>
        <w:ind w:left="1157" w:leftChars="1" w:hanging="1155" w:hangingChars="361"/>
        <w:rPr>
          <w:rFonts w:hint="default" w:ascii="Times New Roman" w:eastAsia="方正小标宋简体"/>
          <w:szCs w:val="32"/>
        </w:rPr>
      </w:pPr>
    </w:p>
    <w:p>
      <w:pPr>
        <w:pStyle w:val="3"/>
        <w:spacing w:line="200" w:lineRule="exact"/>
        <w:ind w:left="1157" w:leftChars="1" w:hanging="1155" w:hangingChars="361"/>
        <w:rPr>
          <w:rFonts w:hint="default" w:ascii="Times New Roman" w:eastAsia="方正小标宋简体"/>
          <w:szCs w:val="32"/>
        </w:rPr>
      </w:pPr>
    </w:p>
    <w:p>
      <w:pPr>
        <w:pStyle w:val="3"/>
        <w:spacing w:line="200" w:lineRule="exact"/>
        <w:ind w:left="1157" w:leftChars="1" w:hanging="1155" w:hangingChars="361"/>
        <w:rPr>
          <w:rFonts w:hint="default" w:ascii="Times New Roman" w:eastAsia="方正小标宋简体"/>
          <w:szCs w:val="32"/>
        </w:rPr>
      </w:pPr>
    </w:p>
    <w:p>
      <w:pPr>
        <w:pStyle w:val="3"/>
        <w:spacing w:line="200" w:lineRule="exact"/>
        <w:ind w:left="1157" w:leftChars="1" w:hanging="1155" w:hangingChars="361"/>
        <w:rPr>
          <w:rFonts w:hint="default" w:ascii="Times New Roman" w:eastAsia="方正小标宋简体"/>
          <w:szCs w:val="32"/>
        </w:rPr>
      </w:pPr>
    </w:p>
    <w:p>
      <w:pPr>
        <w:pStyle w:val="3"/>
        <w:spacing w:line="200" w:lineRule="exact"/>
        <w:ind w:left="1157" w:leftChars="1" w:hanging="1155" w:hangingChars="361"/>
        <w:rPr>
          <w:rFonts w:hint="default" w:ascii="Times New Roman" w:eastAsia="方正小标宋简体"/>
          <w:szCs w:val="32"/>
        </w:rPr>
      </w:pPr>
    </w:p>
    <w:p>
      <w:pPr>
        <w:pStyle w:val="3"/>
        <w:spacing w:line="200" w:lineRule="exact"/>
        <w:ind w:left="1157" w:leftChars="1" w:hanging="1155" w:hangingChars="361"/>
        <w:rPr>
          <w:rFonts w:hint="default" w:ascii="Times New Roman" w:eastAsia="方正小标宋简体"/>
          <w:szCs w:val="32"/>
        </w:rPr>
      </w:pPr>
    </w:p>
    <w:p>
      <w:pPr>
        <w:pStyle w:val="3"/>
        <w:spacing w:line="200" w:lineRule="exact"/>
        <w:ind w:left="1157" w:leftChars="1" w:hanging="1155" w:hangingChars="361"/>
        <w:rPr>
          <w:rFonts w:hint="default" w:ascii="Times New Roman" w:eastAsia="方正小标宋简体"/>
          <w:szCs w:val="32"/>
        </w:rPr>
      </w:pPr>
    </w:p>
    <w:p>
      <w:pPr>
        <w:pStyle w:val="3"/>
        <w:spacing w:line="200" w:lineRule="exact"/>
        <w:ind w:left="1157" w:leftChars="1" w:hanging="1155" w:hangingChars="361"/>
        <w:rPr>
          <w:rFonts w:hint="default" w:ascii="Times New Roman" w:eastAsia="方正小标宋简体"/>
          <w:szCs w:val="32"/>
        </w:rPr>
      </w:pPr>
    </w:p>
    <w:p>
      <w:pPr>
        <w:pStyle w:val="3"/>
        <w:spacing w:line="200" w:lineRule="exact"/>
        <w:ind w:left="1157" w:leftChars="1" w:hanging="1155" w:hangingChars="361"/>
        <w:rPr>
          <w:rFonts w:hint="default" w:ascii="Times New Roman" w:eastAsia="方正小标宋简体"/>
          <w:szCs w:val="32"/>
        </w:rPr>
      </w:pPr>
    </w:p>
    <w:p>
      <w:pPr>
        <w:pStyle w:val="3"/>
        <w:spacing w:line="200" w:lineRule="exact"/>
        <w:ind w:left="1157" w:leftChars="1" w:hanging="1155" w:hangingChars="361"/>
        <w:rPr>
          <w:rFonts w:hint="default" w:ascii="Times New Roman" w:eastAsia="方正小标宋简体"/>
          <w:szCs w:val="32"/>
        </w:rPr>
      </w:pPr>
    </w:p>
    <w:p>
      <w:pPr>
        <w:pStyle w:val="3"/>
        <w:spacing w:line="200" w:lineRule="exact"/>
        <w:ind w:left="1157" w:leftChars="1" w:hanging="1155" w:hangingChars="361"/>
        <w:rPr>
          <w:rFonts w:hint="default" w:ascii="Times New Roman" w:eastAsia="方正小标宋简体"/>
          <w:szCs w:val="32"/>
        </w:rPr>
      </w:pPr>
    </w:p>
    <w:p>
      <w:pPr>
        <w:pStyle w:val="3"/>
        <w:spacing w:line="200" w:lineRule="exact"/>
        <w:ind w:left="1157" w:leftChars="1" w:hanging="1155" w:hangingChars="361"/>
        <w:rPr>
          <w:rFonts w:hint="default" w:ascii="Times New Roman" w:eastAsia="方正小标宋简体"/>
          <w:szCs w:val="32"/>
        </w:rPr>
      </w:pPr>
    </w:p>
    <w:p>
      <w:pPr>
        <w:pStyle w:val="3"/>
        <w:spacing w:line="200" w:lineRule="exact"/>
        <w:ind w:left="1157" w:leftChars="1" w:hanging="1155" w:hangingChars="361"/>
        <w:rPr>
          <w:rFonts w:hint="default" w:ascii="Times New Roman" w:eastAsia="方正小标宋简体"/>
          <w:szCs w:val="32"/>
        </w:rPr>
      </w:pPr>
    </w:p>
    <w:p>
      <w:pPr>
        <w:pStyle w:val="3"/>
        <w:spacing w:line="200" w:lineRule="exact"/>
        <w:ind w:left="1157" w:leftChars="1" w:hanging="1155" w:hangingChars="361"/>
        <w:rPr>
          <w:rFonts w:hint="default" w:ascii="Times New Roman" w:eastAsia="方正小标宋简体"/>
          <w:szCs w:val="32"/>
        </w:rPr>
      </w:pPr>
    </w:p>
    <w:p>
      <w:pPr>
        <w:pStyle w:val="3"/>
        <w:spacing w:line="600" w:lineRule="exact"/>
        <w:ind w:left="1157" w:leftChars="1" w:hanging="1155" w:hangingChars="361"/>
        <w:rPr>
          <w:rFonts w:hint="default" w:ascii="Times New Roman" w:eastAsia="方正小标宋简体"/>
          <w:szCs w:val="32"/>
        </w:rPr>
      </w:pPr>
    </w:p>
    <w:p>
      <w:pPr>
        <w:snapToGrid w:val="0"/>
        <w:spacing w:line="600" w:lineRule="exact"/>
        <w:ind w:left="1113" w:leftChars="150" w:right="210" w:rightChars="100" w:hanging="798" w:hangingChars="380"/>
        <w:jc w:val="left"/>
        <w:rPr>
          <w:rFonts w:ascii="Times New Roman" w:hAnsi="Times New Roman" w:eastAsia="仿宋_GB2312"/>
          <w:color w:val="000000"/>
          <w:sz w:val="28"/>
          <w:szCs w:val="28"/>
        </w:rPr>
      </w:pPr>
      <w:r>
        <w:rPr>
          <w:rFonts w:ascii="Times New Roman" w:hAnsi="Times New Roman"/>
        </w:rP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48260</wp:posOffset>
                </wp:positionV>
                <wp:extent cx="5615940" cy="0"/>
                <wp:effectExtent l="9525" t="10160" r="13335" b="8890"/>
                <wp:wrapNone/>
                <wp:docPr id="9"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2700">
                          <a:solidFill>
                            <a:srgbClr val="000000"/>
                          </a:solidFill>
                          <a:round/>
                        </a:ln>
                      </wps:spPr>
                      <wps:bodyPr/>
                    </wps:wsp>
                  </a:graphicData>
                </a:graphic>
              </wp:anchor>
            </w:drawing>
          </mc:Choice>
          <mc:Fallback>
            <w:pict>
              <v:line id="直接连接符 8" o:spid="_x0000_s1026" o:spt="20" style="position:absolute;left:0pt;margin-top:3.8pt;height:0pt;width:442.2pt;mso-position-horizontal:center;z-index:251662336;mso-width-relative:page;mso-height-relative:page;" filled="f" stroked="t" coordsize="21600,21600" o:gfxdata="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KVaKMrUAAAABAEAAA8AAAAAAAAAAQAgAAAAIgAAAGRycy9kb3du&#10;cmV2LnhtbFBLAQIUABQAAAAIAIdO4kCG7tWZygEAAF0DAAAOAAAAAAAAAAEAIAAAACMBAABkcnMv&#10;ZTJvRG9jLnhtbFBLBQYAAAAABgAGAFkBAABfBQAAAAA=&#10;">
                <v:fill on="f" focussize="0,0"/>
                <v:stroke weight="1pt" color="#000000" joinstyle="round"/>
                <v:imagedata o:title=""/>
                <o:lock v:ext="edit" aspectratio="f"/>
              </v:line>
            </w:pict>
          </mc:Fallback>
        </mc:AlternateContent>
      </w:r>
      <w:r>
        <w:rPr>
          <w:rFonts w:ascii="Times New Roman" w:hAnsi="Times New Roman" w:eastAsia="仿宋_GB2312"/>
          <w:color w:val="000000"/>
          <w:sz w:val="28"/>
          <w:szCs w:val="28"/>
        </w:rPr>
        <w:t>安徽省农业农村厅                         2019年3月8日印发</w:t>
      </w:r>
    </w:p>
    <w:p>
      <w:pPr>
        <w:tabs>
          <w:tab w:val="left" w:pos="8715"/>
        </w:tabs>
        <w:snapToGrid w:val="0"/>
        <w:spacing w:line="60" w:lineRule="exact"/>
        <w:ind w:left="984" w:leftChars="150" w:right="210" w:rightChars="100" w:hanging="669" w:hangingChars="319"/>
        <w:rPr>
          <w:rFonts w:ascii="Times New Roman" w:hAnsi="Times New Roman"/>
          <w:sz w:val="28"/>
          <w:szCs w:val="28"/>
        </w:rPr>
      </w:pPr>
      <w:r>
        <w:rPr>
          <w:rFonts w:ascii="Times New Roman" w:hAnsi="Times New Roman"/>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36195</wp:posOffset>
                </wp:positionV>
                <wp:extent cx="5615940" cy="0"/>
                <wp:effectExtent l="9525" t="7620" r="13335" b="11430"/>
                <wp:wrapNone/>
                <wp:docPr id="7"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2700">
                          <a:solidFill>
                            <a:srgbClr val="000000"/>
                          </a:solidFill>
                          <a:round/>
                        </a:ln>
                      </wps:spPr>
                      <wps:bodyPr/>
                    </wps:wsp>
                  </a:graphicData>
                </a:graphic>
              </wp:anchor>
            </w:drawing>
          </mc:Choice>
          <mc:Fallback>
            <w:pict>
              <v:line id="直接连接符 6" o:spid="_x0000_s1026" o:spt="20" style="position:absolute;left:0pt;margin-top:2.85pt;height:0pt;width:442.2pt;mso-position-horizontal:center;z-index:251660288;mso-width-relative:page;mso-height-relative:page;" filled="f" stroked="t" coordsize="21600,21600" o:gfxdata="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NIUCunUAAAABAEAAA8AAAAAAAAAAQAgAAAAIgAAAGRycy9kb3du&#10;cmV2LnhtbFBLAQIUABQAAAAIAIdO4kDmqu24ygEAAF0DAAAOAAAAAAAAAAEAIAAAACMBAABkcnMv&#10;ZTJvRG9jLnhtbFBLBQYAAAAABgAGAFkBAABfBQAAAAA=&#10;">
                <v:fill on="f" focussize="0,0"/>
                <v:stroke weight="1pt" color="#000000" joinstyle="round"/>
                <v:imagedata o:title=""/>
                <o:lock v:ext="edit" aspectratio="f"/>
              </v:line>
            </w:pict>
          </mc:Fallback>
        </mc:AlternateContent>
      </w:r>
    </w:p>
    <w:sectPr>
      <w:headerReference r:id="rId3" w:type="default"/>
      <w:footerReference r:id="rId4" w:type="default"/>
      <w:footerReference r:id="rId5" w:type="even"/>
      <w:pgSz w:w="11907" w:h="16840"/>
      <w:pgMar w:top="1871" w:right="1531" w:bottom="1701" w:left="1531" w:header="851" w:footer="1418" w:gutter="0"/>
      <w:cols w:space="425" w:num="1"/>
      <w:docGrid w:linePitch="603"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1814" w:wrap="around" w:vAnchor="text" w:hAnchor="margin" w:xAlign="outside" w:y="1"/>
      <w:jc w:val="center"/>
      <w:rPr>
        <w:rStyle w:val="11"/>
        <w:rFonts w:ascii="宋体" w:hAnsi="宋体"/>
        <w:sz w:val="28"/>
        <w:szCs w:val="28"/>
      </w:rPr>
    </w:pPr>
    <w:r>
      <w:rPr>
        <w:rStyle w:val="11"/>
        <w:rFonts w:hint="eastAsia" w:ascii="宋体" w:hAnsi="宋体"/>
        <w:sz w:val="28"/>
        <w:szCs w:val="28"/>
      </w:rPr>
      <w:t xml:space="preserve">— </w:t>
    </w: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1</w:t>
    </w:r>
    <w:r>
      <w:rPr>
        <w:rStyle w:val="11"/>
        <w:rFonts w:ascii="宋体" w:hAnsi="宋体"/>
        <w:sz w:val="28"/>
        <w:szCs w:val="28"/>
      </w:rPr>
      <w:fldChar w:fldCharType="end"/>
    </w:r>
    <w:r>
      <w:rPr>
        <w:rStyle w:val="11"/>
        <w:rFonts w:hint="eastAsia" w:ascii="宋体" w:hAnsi="宋体"/>
        <w:sz w:val="28"/>
        <w:szCs w:val="28"/>
      </w:rPr>
      <w:t xml:space="preserve"> —</w: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1814" w:wrap="around" w:vAnchor="text" w:hAnchor="margin" w:xAlign="outside" w:y="1"/>
      <w:jc w:val="center"/>
      <w:rPr>
        <w:rStyle w:val="11"/>
        <w:rFonts w:ascii="宋体" w:hAnsi="宋体"/>
        <w:sz w:val="28"/>
        <w:szCs w:val="28"/>
      </w:rPr>
    </w:pPr>
    <w:r>
      <w:rPr>
        <w:rStyle w:val="11"/>
        <w:rFonts w:hint="eastAsia" w:ascii="宋体" w:hAnsi="宋体"/>
        <w:sz w:val="28"/>
        <w:szCs w:val="28"/>
      </w:rPr>
      <w:t xml:space="preserve">— </w:t>
    </w: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12</w:t>
    </w:r>
    <w:r>
      <w:rPr>
        <w:rStyle w:val="11"/>
        <w:rFonts w:ascii="宋体" w:hAnsi="宋体"/>
        <w:sz w:val="28"/>
        <w:szCs w:val="28"/>
      </w:rPr>
      <w:fldChar w:fldCharType="end"/>
    </w:r>
    <w:r>
      <w:rPr>
        <w:rStyle w:val="11"/>
        <w:rFonts w:hint="eastAsia" w:ascii="宋体" w:hAnsi="宋体"/>
        <w:sz w:val="28"/>
        <w:szCs w:val="28"/>
      </w:rPr>
      <w:t xml:space="preserve"> —</w: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evenAndOddHeaders w:val="1"/>
  <w:drawingGridHorizontalSpacing w:val="158"/>
  <w:drawingGridVerticalSpacing w:val="60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C71"/>
    <w:rsid w:val="00004160"/>
    <w:rsid w:val="00005B00"/>
    <w:rsid w:val="00006A6A"/>
    <w:rsid w:val="000108FF"/>
    <w:rsid w:val="00020B7B"/>
    <w:rsid w:val="00021BA6"/>
    <w:rsid w:val="0003219C"/>
    <w:rsid w:val="000365F9"/>
    <w:rsid w:val="0003776A"/>
    <w:rsid w:val="00043804"/>
    <w:rsid w:val="00046612"/>
    <w:rsid w:val="00055D8E"/>
    <w:rsid w:val="0005754A"/>
    <w:rsid w:val="00057D34"/>
    <w:rsid w:val="00067D58"/>
    <w:rsid w:val="00072AD0"/>
    <w:rsid w:val="00076110"/>
    <w:rsid w:val="00076A79"/>
    <w:rsid w:val="00085848"/>
    <w:rsid w:val="00086D42"/>
    <w:rsid w:val="000933E7"/>
    <w:rsid w:val="00093C96"/>
    <w:rsid w:val="00093E5E"/>
    <w:rsid w:val="000945B7"/>
    <w:rsid w:val="000D109C"/>
    <w:rsid w:val="000D1E27"/>
    <w:rsid w:val="000E1E34"/>
    <w:rsid w:val="000E278E"/>
    <w:rsid w:val="000E4723"/>
    <w:rsid w:val="000E5758"/>
    <w:rsid w:val="000E59DA"/>
    <w:rsid w:val="000E6B38"/>
    <w:rsid w:val="000F1F3E"/>
    <w:rsid w:val="000F679D"/>
    <w:rsid w:val="000F6FFA"/>
    <w:rsid w:val="00105024"/>
    <w:rsid w:val="001066A1"/>
    <w:rsid w:val="00112101"/>
    <w:rsid w:val="0011695E"/>
    <w:rsid w:val="00121091"/>
    <w:rsid w:val="0012163A"/>
    <w:rsid w:val="00121FA6"/>
    <w:rsid w:val="00122E1D"/>
    <w:rsid w:val="001258A1"/>
    <w:rsid w:val="00125F50"/>
    <w:rsid w:val="00127CB5"/>
    <w:rsid w:val="001324DF"/>
    <w:rsid w:val="001359F2"/>
    <w:rsid w:val="0014578F"/>
    <w:rsid w:val="00147CDC"/>
    <w:rsid w:val="001511B0"/>
    <w:rsid w:val="00170F0D"/>
    <w:rsid w:val="0017725D"/>
    <w:rsid w:val="0018019F"/>
    <w:rsid w:val="0018342F"/>
    <w:rsid w:val="001844B4"/>
    <w:rsid w:val="0018623D"/>
    <w:rsid w:val="001922BE"/>
    <w:rsid w:val="00197FE5"/>
    <w:rsid w:val="001A70A3"/>
    <w:rsid w:val="001B1F31"/>
    <w:rsid w:val="001B5230"/>
    <w:rsid w:val="001B7551"/>
    <w:rsid w:val="001C1151"/>
    <w:rsid w:val="001C1E46"/>
    <w:rsid w:val="001C2070"/>
    <w:rsid w:val="001C208B"/>
    <w:rsid w:val="001C2DF9"/>
    <w:rsid w:val="001C5072"/>
    <w:rsid w:val="001D03E1"/>
    <w:rsid w:val="001D3D73"/>
    <w:rsid w:val="001D433E"/>
    <w:rsid w:val="001E32F8"/>
    <w:rsid w:val="001F0D03"/>
    <w:rsid w:val="001F1663"/>
    <w:rsid w:val="002067FB"/>
    <w:rsid w:val="00207E77"/>
    <w:rsid w:val="00211640"/>
    <w:rsid w:val="00211D85"/>
    <w:rsid w:val="002136FA"/>
    <w:rsid w:val="00215D40"/>
    <w:rsid w:val="00217247"/>
    <w:rsid w:val="00217654"/>
    <w:rsid w:val="0022148B"/>
    <w:rsid w:val="00223D2E"/>
    <w:rsid w:val="002245A5"/>
    <w:rsid w:val="00226CDF"/>
    <w:rsid w:val="00227608"/>
    <w:rsid w:val="00232384"/>
    <w:rsid w:val="00242EED"/>
    <w:rsid w:val="00247F13"/>
    <w:rsid w:val="002561CE"/>
    <w:rsid w:val="0026222D"/>
    <w:rsid w:val="00264727"/>
    <w:rsid w:val="00265481"/>
    <w:rsid w:val="00271341"/>
    <w:rsid w:val="00276255"/>
    <w:rsid w:val="00281383"/>
    <w:rsid w:val="00281CCA"/>
    <w:rsid w:val="00281DAB"/>
    <w:rsid w:val="0029110B"/>
    <w:rsid w:val="00292B18"/>
    <w:rsid w:val="002A0EC0"/>
    <w:rsid w:val="002B20BF"/>
    <w:rsid w:val="002B2C58"/>
    <w:rsid w:val="002B65ED"/>
    <w:rsid w:val="002B6C08"/>
    <w:rsid w:val="002B7BF6"/>
    <w:rsid w:val="002C07D9"/>
    <w:rsid w:val="002C6ADB"/>
    <w:rsid w:val="002D1CF7"/>
    <w:rsid w:val="002D5BE9"/>
    <w:rsid w:val="002E2D18"/>
    <w:rsid w:val="002E33ED"/>
    <w:rsid w:val="002E4730"/>
    <w:rsid w:val="002E7AB4"/>
    <w:rsid w:val="002F5A49"/>
    <w:rsid w:val="003028A2"/>
    <w:rsid w:val="00303880"/>
    <w:rsid w:val="00303E32"/>
    <w:rsid w:val="003105F2"/>
    <w:rsid w:val="00312C5B"/>
    <w:rsid w:val="00314D2B"/>
    <w:rsid w:val="003153A2"/>
    <w:rsid w:val="003155DC"/>
    <w:rsid w:val="00317BF6"/>
    <w:rsid w:val="0032017C"/>
    <w:rsid w:val="00324D6E"/>
    <w:rsid w:val="00326381"/>
    <w:rsid w:val="00332921"/>
    <w:rsid w:val="0033630E"/>
    <w:rsid w:val="00337592"/>
    <w:rsid w:val="00340608"/>
    <w:rsid w:val="00340B4B"/>
    <w:rsid w:val="00340B90"/>
    <w:rsid w:val="00345F4F"/>
    <w:rsid w:val="00346A28"/>
    <w:rsid w:val="00352EE7"/>
    <w:rsid w:val="00360B4D"/>
    <w:rsid w:val="003615C2"/>
    <w:rsid w:val="00373357"/>
    <w:rsid w:val="00373D25"/>
    <w:rsid w:val="0037426C"/>
    <w:rsid w:val="0038326E"/>
    <w:rsid w:val="00383643"/>
    <w:rsid w:val="00383D31"/>
    <w:rsid w:val="00390E98"/>
    <w:rsid w:val="0039568C"/>
    <w:rsid w:val="00397D70"/>
    <w:rsid w:val="003A56F8"/>
    <w:rsid w:val="003A57D2"/>
    <w:rsid w:val="003B57A8"/>
    <w:rsid w:val="003C3DF2"/>
    <w:rsid w:val="003E3022"/>
    <w:rsid w:val="003E33E1"/>
    <w:rsid w:val="003F2DCD"/>
    <w:rsid w:val="003F323E"/>
    <w:rsid w:val="003F4054"/>
    <w:rsid w:val="003F6D7E"/>
    <w:rsid w:val="00400BF6"/>
    <w:rsid w:val="00405503"/>
    <w:rsid w:val="00406BCC"/>
    <w:rsid w:val="00407E52"/>
    <w:rsid w:val="0042027B"/>
    <w:rsid w:val="00420433"/>
    <w:rsid w:val="004235D8"/>
    <w:rsid w:val="0042534C"/>
    <w:rsid w:val="00433A98"/>
    <w:rsid w:val="0043647E"/>
    <w:rsid w:val="00437286"/>
    <w:rsid w:val="00451097"/>
    <w:rsid w:val="004539A4"/>
    <w:rsid w:val="004563E6"/>
    <w:rsid w:val="00456EB6"/>
    <w:rsid w:val="0045749A"/>
    <w:rsid w:val="004635B2"/>
    <w:rsid w:val="00464A5A"/>
    <w:rsid w:val="00466BBE"/>
    <w:rsid w:val="00474A6B"/>
    <w:rsid w:val="00481017"/>
    <w:rsid w:val="00482C60"/>
    <w:rsid w:val="0048462F"/>
    <w:rsid w:val="004872D5"/>
    <w:rsid w:val="00492D86"/>
    <w:rsid w:val="004A003E"/>
    <w:rsid w:val="004A0598"/>
    <w:rsid w:val="004A3025"/>
    <w:rsid w:val="004A3BE3"/>
    <w:rsid w:val="004A5A4D"/>
    <w:rsid w:val="004B10AA"/>
    <w:rsid w:val="004B1251"/>
    <w:rsid w:val="004B4D96"/>
    <w:rsid w:val="004B4E54"/>
    <w:rsid w:val="004C0CAC"/>
    <w:rsid w:val="004C1C29"/>
    <w:rsid w:val="004C1CD8"/>
    <w:rsid w:val="004C2946"/>
    <w:rsid w:val="004D042A"/>
    <w:rsid w:val="004D67ED"/>
    <w:rsid w:val="004D7F4D"/>
    <w:rsid w:val="004E0CC6"/>
    <w:rsid w:val="004E608C"/>
    <w:rsid w:val="004F0AF5"/>
    <w:rsid w:val="004F2F40"/>
    <w:rsid w:val="00501394"/>
    <w:rsid w:val="005013EB"/>
    <w:rsid w:val="00503BB9"/>
    <w:rsid w:val="00505068"/>
    <w:rsid w:val="0051084F"/>
    <w:rsid w:val="00510E6D"/>
    <w:rsid w:val="0051651D"/>
    <w:rsid w:val="00522B76"/>
    <w:rsid w:val="00533F78"/>
    <w:rsid w:val="00534840"/>
    <w:rsid w:val="00541BAA"/>
    <w:rsid w:val="00553B29"/>
    <w:rsid w:val="005565AC"/>
    <w:rsid w:val="0055674C"/>
    <w:rsid w:val="00566C90"/>
    <w:rsid w:val="005671D2"/>
    <w:rsid w:val="0057186E"/>
    <w:rsid w:val="00573A7D"/>
    <w:rsid w:val="00574239"/>
    <w:rsid w:val="00575E56"/>
    <w:rsid w:val="0058022A"/>
    <w:rsid w:val="005805F8"/>
    <w:rsid w:val="0058121B"/>
    <w:rsid w:val="00581827"/>
    <w:rsid w:val="00581E01"/>
    <w:rsid w:val="00584C8E"/>
    <w:rsid w:val="00585CB8"/>
    <w:rsid w:val="00586ACB"/>
    <w:rsid w:val="00586B14"/>
    <w:rsid w:val="00586D98"/>
    <w:rsid w:val="005903ED"/>
    <w:rsid w:val="005917E3"/>
    <w:rsid w:val="005919B2"/>
    <w:rsid w:val="00592C85"/>
    <w:rsid w:val="005946C0"/>
    <w:rsid w:val="00596E93"/>
    <w:rsid w:val="005A0076"/>
    <w:rsid w:val="005A0F76"/>
    <w:rsid w:val="005A1C38"/>
    <w:rsid w:val="005A21C7"/>
    <w:rsid w:val="005A2989"/>
    <w:rsid w:val="005A5879"/>
    <w:rsid w:val="005A6CDF"/>
    <w:rsid w:val="005B672B"/>
    <w:rsid w:val="005C04CA"/>
    <w:rsid w:val="005C0C25"/>
    <w:rsid w:val="005C0F31"/>
    <w:rsid w:val="005C15AA"/>
    <w:rsid w:val="005C6041"/>
    <w:rsid w:val="005D4057"/>
    <w:rsid w:val="005E0BB0"/>
    <w:rsid w:val="005E52E9"/>
    <w:rsid w:val="005F355F"/>
    <w:rsid w:val="005F4C4E"/>
    <w:rsid w:val="005F5EB5"/>
    <w:rsid w:val="005F61A6"/>
    <w:rsid w:val="005F74F3"/>
    <w:rsid w:val="005F7E7B"/>
    <w:rsid w:val="00602ACB"/>
    <w:rsid w:val="00605738"/>
    <w:rsid w:val="006130D3"/>
    <w:rsid w:val="00615477"/>
    <w:rsid w:val="00615E5D"/>
    <w:rsid w:val="006169C1"/>
    <w:rsid w:val="00627F6A"/>
    <w:rsid w:val="00640471"/>
    <w:rsid w:val="006410B1"/>
    <w:rsid w:val="0064158E"/>
    <w:rsid w:val="0064247B"/>
    <w:rsid w:val="0064356C"/>
    <w:rsid w:val="00643F16"/>
    <w:rsid w:val="0064407E"/>
    <w:rsid w:val="00651376"/>
    <w:rsid w:val="00652E8C"/>
    <w:rsid w:val="00657644"/>
    <w:rsid w:val="00676179"/>
    <w:rsid w:val="006762FB"/>
    <w:rsid w:val="00683966"/>
    <w:rsid w:val="00687C13"/>
    <w:rsid w:val="0069179D"/>
    <w:rsid w:val="006924F4"/>
    <w:rsid w:val="006933B0"/>
    <w:rsid w:val="00694784"/>
    <w:rsid w:val="006B38F2"/>
    <w:rsid w:val="006C7F22"/>
    <w:rsid w:val="006D0FFE"/>
    <w:rsid w:val="006D289E"/>
    <w:rsid w:val="006D2E64"/>
    <w:rsid w:val="006E7C4E"/>
    <w:rsid w:val="006F0028"/>
    <w:rsid w:val="006F4D94"/>
    <w:rsid w:val="00700A45"/>
    <w:rsid w:val="00703EA2"/>
    <w:rsid w:val="00705D2E"/>
    <w:rsid w:val="00712C44"/>
    <w:rsid w:val="0071320B"/>
    <w:rsid w:val="00713CB3"/>
    <w:rsid w:val="0072291D"/>
    <w:rsid w:val="00727127"/>
    <w:rsid w:val="00727711"/>
    <w:rsid w:val="00731DDE"/>
    <w:rsid w:val="0073463C"/>
    <w:rsid w:val="00734E44"/>
    <w:rsid w:val="00736AA2"/>
    <w:rsid w:val="00745289"/>
    <w:rsid w:val="00745360"/>
    <w:rsid w:val="00746FB7"/>
    <w:rsid w:val="00753054"/>
    <w:rsid w:val="0075499B"/>
    <w:rsid w:val="00760CC2"/>
    <w:rsid w:val="00763E5E"/>
    <w:rsid w:val="007702C6"/>
    <w:rsid w:val="00773689"/>
    <w:rsid w:val="00773870"/>
    <w:rsid w:val="00784B96"/>
    <w:rsid w:val="007852AB"/>
    <w:rsid w:val="00792F8B"/>
    <w:rsid w:val="007C0DD7"/>
    <w:rsid w:val="007C46D0"/>
    <w:rsid w:val="007C4827"/>
    <w:rsid w:val="007D1A76"/>
    <w:rsid w:val="007D433E"/>
    <w:rsid w:val="007D7726"/>
    <w:rsid w:val="007F1966"/>
    <w:rsid w:val="007F27AA"/>
    <w:rsid w:val="007F62FF"/>
    <w:rsid w:val="007F791F"/>
    <w:rsid w:val="00805AA3"/>
    <w:rsid w:val="00810FF2"/>
    <w:rsid w:val="00812C3D"/>
    <w:rsid w:val="00813777"/>
    <w:rsid w:val="00827C6F"/>
    <w:rsid w:val="008364A4"/>
    <w:rsid w:val="00843FF8"/>
    <w:rsid w:val="0084559F"/>
    <w:rsid w:val="0085530D"/>
    <w:rsid w:val="008561D6"/>
    <w:rsid w:val="00857237"/>
    <w:rsid w:val="008625DD"/>
    <w:rsid w:val="0087397E"/>
    <w:rsid w:val="0087411B"/>
    <w:rsid w:val="00874D56"/>
    <w:rsid w:val="00885D2B"/>
    <w:rsid w:val="00894FD3"/>
    <w:rsid w:val="00895247"/>
    <w:rsid w:val="008A000E"/>
    <w:rsid w:val="008A0C48"/>
    <w:rsid w:val="008A153C"/>
    <w:rsid w:val="008A4F52"/>
    <w:rsid w:val="008C15D0"/>
    <w:rsid w:val="008C4A8B"/>
    <w:rsid w:val="008C55CC"/>
    <w:rsid w:val="008C6C64"/>
    <w:rsid w:val="008D4F84"/>
    <w:rsid w:val="008E3DB2"/>
    <w:rsid w:val="008E746D"/>
    <w:rsid w:val="008F1057"/>
    <w:rsid w:val="009009EE"/>
    <w:rsid w:val="00900F9F"/>
    <w:rsid w:val="00901236"/>
    <w:rsid w:val="00903CD0"/>
    <w:rsid w:val="00904C4C"/>
    <w:rsid w:val="00907B5A"/>
    <w:rsid w:val="00916B41"/>
    <w:rsid w:val="0092393B"/>
    <w:rsid w:val="009259BA"/>
    <w:rsid w:val="00926AF9"/>
    <w:rsid w:val="00931068"/>
    <w:rsid w:val="00932181"/>
    <w:rsid w:val="00946422"/>
    <w:rsid w:val="00947164"/>
    <w:rsid w:val="00953DDD"/>
    <w:rsid w:val="00956052"/>
    <w:rsid w:val="00956BE9"/>
    <w:rsid w:val="009627CB"/>
    <w:rsid w:val="0097424C"/>
    <w:rsid w:val="00975018"/>
    <w:rsid w:val="009775D0"/>
    <w:rsid w:val="00980B87"/>
    <w:rsid w:val="00982FF0"/>
    <w:rsid w:val="00990D9C"/>
    <w:rsid w:val="00996852"/>
    <w:rsid w:val="009973D3"/>
    <w:rsid w:val="009B0E5E"/>
    <w:rsid w:val="009B3EF1"/>
    <w:rsid w:val="009B466D"/>
    <w:rsid w:val="009B7C5F"/>
    <w:rsid w:val="009C7A19"/>
    <w:rsid w:val="009D0F09"/>
    <w:rsid w:val="009D2BA8"/>
    <w:rsid w:val="009D3061"/>
    <w:rsid w:val="009D6479"/>
    <w:rsid w:val="009D6718"/>
    <w:rsid w:val="009D6A5A"/>
    <w:rsid w:val="009E1F20"/>
    <w:rsid w:val="009E25C6"/>
    <w:rsid w:val="009E4486"/>
    <w:rsid w:val="009E49AC"/>
    <w:rsid w:val="009E594E"/>
    <w:rsid w:val="009E6196"/>
    <w:rsid w:val="009F02FD"/>
    <w:rsid w:val="00A01906"/>
    <w:rsid w:val="00A01B73"/>
    <w:rsid w:val="00A0333A"/>
    <w:rsid w:val="00A0392D"/>
    <w:rsid w:val="00A10EB2"/>
    <w:rsid w:val="00A1379C"/>
    <w:rsid w:val="00A164C6"/>
    <w:rsid w:val="00A20488"/>
    <w:rsid w:val="00A24028"/>
    <w:rsid w:val="00A24D18"/>
    <w:rsid w:val="00A276AB"/>
    <w:rsid w:val="00A30F8E"/>
    <w:rsid w:val="00A32E81"/>
    <w:rsid w:val="00A44138"/>
    <w:rsid w:val="00A566BA"/>
    <w:rsid w:val="00A66324"/>
    <w:rsid w:val="00A71C1C"/>
    <w:rsid w:val="00A77949"/>
    <w:rsid w:val="00A820F4"/>
    <w:rsid w:val="00A82C08"/>
    <w:rsid w:val="00A82CED"/>
    <w:rsid w:val="00A875A1"/>
    <w:rsid w:val="00A90181"/>
    <w:rsid w:val="00A907A2"/>
    <w:rsid w:val="00A9668A"/>
    <w:rsid w:val="00A9762C"/>
    <w:rsid w:val="00AA0448"/>
    <w:rsid w:val="00AA1D03"/>
    <w:rsid w:val="00AA59A4"/>
    <w:rsid w:val="00AB01AE"/>
    <w:rsid w:val="00AB1CC9"/>
    <w:rsid w:val="00AB22D8"/>
    <w:rsid w:val="00AB7F24"/>
    <w:rsid w:val="00AC23BA"/>
    <w:rsid w:val="00AD20D8"/>
    <w:rsid w:val="00AD2C4C"/>
    <w:rsid w:val="00AD3F44"/>
    <w:rsid w:val="00AF0019"/>
    <w:rsid w:val="00AF65EC"/>
    <w:rsid w:val="00AF73D5"/>
    <w:rsid w:val="00AF76FB"/>
    <w:rsid w:val="00B02576"/>
    <w:rsid w:val="00B05AD0"/>
    <w:rsid w:val="00B10793"/>
    <w:rsid w:val="00B129FC"/>
    <w:rsid w:val="00B132FB"/>
    <w:rsid w:val="00B13462"/>
    <w:rsid w:val="00B13CB9"/>
    <w:rsid w:val="00B21025"/>
    <w:rsid w:val="00B24A3A"/>
    <w:rsid w:val="00B25868"/>
    <w:rsid w:val="00B370E1"/>
    <w:rsid w:val="00B403DF"/>
    <w:rsid w:val="00B41229"/>
    <w:rsid w:val="00B42F77"/>
    <w:rsid w:val="00B4324E"/>
    <w:rsid w:val="00B43502"/>
    <w:rsid w:val="00B46474"/>
    <w:rsid w:val="00B54406"/>
    <w:rsid w:val="00B54854"/>
    <w:rsid w:val="00B562DE"/>
    <w:rsid w:val="00B62769"/>
    <w:rsid w:val="00B64946"/>
    <w:rsid w:val="00B64BD6"/>
    <w:rsid w:val="00B65FAF"/>
    <w:rsid w:val="00B748E0"/>
    <w:rsid w:val="00B758BB"/>
    <w:rsid w:val="00B82E69"/>
    <w:rsid w:val="00B8330F"/>
    <w:rsid w:val="00B862C2"/>
    <w:rsid w:val="00BB11B1"/>
    <w:rsid w:val="00BB40B3"/>
    <w:rsid w:val="00BC285B"/>
    <w:rsid w:val="00BC7CA8"/>
    <w:rsid w:val="00BD054D"/>
    <w:rsid w:val="00BD2840"/>
    <w:rsid w:val="00BD2B4B"/>
    <w:rsid w:val="00BD4925"/>
    <w:rsid w:val="00BE0771"/>
    <w:rsid w:val="00BE091B"/>
    <w:rsid w:val="00BE6867"/>
    <w:rsid w:val="00BE70AA"/>
    <w:rsid w:val="00BE771A"/>
    <w:rsid w:val="00BF1615"/>
    <w:rsid w:val="00C00260"/>
    <w:rsid w:val="00C0246D"/>
    <w:rsid w:val="00C02D50"/>
    <w:rsid w:val="00C03F61"/>
    <w:rsid w:val="00C05C71"/>
    <w:rsid w:val="00C06BF8"/>
    <w:rsid w:val="00C103E7"/>
    <w:rsid w:val="00C10AF7"/>
    <w:rsid w:val="00C14E8D"/>
    <w:rsid w:val="00C21242"/>
    <w:rsid w:val="00C219E3"/>
    <w:rsid w:val="00C2614A"/>
    <w:rsid w:val="00C30912"/>
    <w:rsid w:val="00C338E7"/>
    <w:rsid w:val="00C33CCE"/>
    <w:rsid w:val="00C40AF2"/>
    <w:rsid w:val="00C42FFC"/>
    <w:rsid w:val="00C44C16"/>
    <w:rsid w:val="00C45E63"/>
    <w:rsid w:val="00C47450"/>
    <w:rsid w:val="00C51F1A"/>
    <w:rsid w:val="00C52D47"/>
    <w:rsid w:val="00C54498"/>
    <w:rsid w:val="00C55AA5"/>
    <w:rsid w:val="00C569AE"/>
    <w:rsid w:val="00C56BB9"/>
    <w:rsid w:val="00C5731C"/>
    <w:rsid w:val="00C63CB2"/>
    <w:rsid w:val="00C642E8"/>
    <w:rsid w:val="00C7256A"/>
    <w:rsid w:val="00C72718"/>
    <w:rsid w:val="00C73D85"/>
    <w:rsid w:val="00C823B2"/>
    <w:rsid w:val="00C83AA8"/>
    <w:rsid w:val="00C90936"/>
    <w:rsid w:val="00C909B1"/>
    <w:rsid w:val="00C92C3F"/>
    <w:rsid w:val="00C93C25"/>
    <w:rsid w:val="00C93FDB"/>
    <w:rsid w:val="00C96AEA"/>
    <w:rsid w:val="00CA0DD5"/>
    <w:rsid w:val="00CA3B31"/>
    <w:rsid w:val="00CA6856"/>
    <w:rsid w:val="00CB1D95"/>
    <w:rsid w:val="00CB21A2"/>
    <w:rsid w:val="00CC1FFC"/>
    <w:rsid w:val="00CC3F7F"/>
    <w:rsid w:val="00CC4CA8"/>
    <w:rsid w:val="00CD51AA"/>
    <w:rsid w:val="00CD6C53"/>
    <w:rsid w:val="00CE2499"/>
    <w:rsid w:val="00CF0304"/>
    <w:rsid w:val="00CF620F"/>
    <w:rsid w:val="00CF650D"/>
    <w:rsid w:val="00CF6FD3"/>
    <w:rsid w:val="00CF7CF9"/>
    <w:rsid w:val="00D000CE"/>
    <w:rsid w:val="00D00258"/>
    <w:rsid w:val="00D0242B"/>
    <w:rsid w:val="00D02799"/>
    <w:rsid w:val="00D10419"/>
    <w:rsid w:val="00D144DE"/>
    <w:rsid w:val="00D14851"/>
    <w:rsid w:val="00D15526"/>
    <w:rsid w:val="00D15B87"/>
    <w:rsid w:val="00D2311B"/>
    <w:rsid w:val="00D32507"/>
    <w:rsid w:val="00D34428"/>
    <w:rsid w:val="00D34A11"/>
    <w:rsid w:val="00D34F52"/>
    <w:rsid w:val="00D43A5B"/>
    <w:rsid w:val="00D448F4"/>
    <w:rsid w:val="00D44B55"/>
    <w:rsid w:val="00D45B6D"/>
    <w:rsid w:val="00D614C6"/>
    <w:rsid w:val="00D61FA4"/>
    <w:rsid w:val="00D63D44"/>
    <w:rsid w:val="00D7026C"/>
    <w:rsid w:val="00D7216E"/>
    <w:rsid w:val="00D75422"/>
    <w:rsid w:val="00D830AC"/>
    <w:rsid w:val="00D84A14"/>
    <w:rsid w:val="00D91122"/>
    <w:rsid w:val="00D942CE"/>
    <w:rsid w:val="00D96201"/>
    <w:rsid w:val="00D96CC9"/>
    <w:rsid w:val="00DA6B3F"/>
    <w:rsid w:val="00DA6CFF"/>
    <w:rsid w:val="00DA75A9"/>
    <w:rsid w:val="00DA794D"/>
    <w:rsid w:val="00DA79DD"/>
    <w:rsid w:val="00DC46D8"/>
    <w:rsid w:val="00DC5D3C"/>
    <w:rsid w:val="00DD1236"/>
    <w:rsid w:val="00DD5327"/>
    <w:rsid w:val="00DD6214"/>
    <w:rsid w:val="00DE0478"/>
    <w:rsid w:val="00DE4282"/>
    <w:rsid w:val="00DE4C42"/>
    <w:rsid w:val="00DE5D62"/>
    <w:rsid w:val="00DF3C41"/>
    <w:rsid w:val="00E054CF"/>
    <w:rsid w:val="00E056A2"/>
    <w:rsid w:val="00E107E4"/>
    <w:rsid w:val="00E1126F"/>
    <w:rsid w:val="00E153B0"/>
    <w:rsid w:val="00E157BB"/>
    <w:rsid w:val="00E23FF3"/>
    <w:rsid w:val="00E3319E"/>
    <w:rsid w:val="00E348A1"/>
    <w:rsid w:val="00E3734A"/>
    <w:rsid w:val="00E43B56"/>
    <w:rsid w:val="00E4634E"/>
    <w:rsid w:val="00E51518"/>
    <w:rsid w:val="00E619EA"/>
    <w:rsid w:val="00E66B19"/>
    <w:rsid w:val="00E72DE3"/>
    <w:rsid w:val="00E763BB"/>
    <w:rsid w:val="00E91D42"/>
    <w:rsid w:val="00E93C19"/>
    <w:rsid w:val="00EA341C"/>
    <w:rsid w:val="00EA68FE"/>
    <w:rsid w:val="00EA75B4"/>
    <w:rsid w:val="00EB02AA"/>
    <w:rsid w:val="00EB0E52"/>
    <w:rsid w:val="00EB14A2"/>
    <w:rsid w:val="00EB17DA"/>
    <w:rsid w:val="00EB3A5B"/>
    <w:rsid w:val="00EB4078"/>
    <w:rsid w:val="00EB4BE3"/>
    <w:rsid w:val="00EB4EA2"/>
    <w:rsid w:val="00EC2DCB"/>
    <w:rsid w:val="00EC5E58"/>
    <w:rsid w:val="00ED1BA5"/>
    <w:rsid w:val="00ED382B"/>
    <w:rsid w:val="00ED3DC8"/>
    <w:rsid w:val="00ED63E5"/>
    <w:rsid w:val="00EE685B"/>
    <w:rsid w:val="00EE6B24"/>
    <w:rsid w:val="00EE6FA4"/>
    <w:rsid w:val="00EF0C55"/>
    <w:rsid w:val="00EF34D2"/>
    <w:rsid w:val="00F00990"/>
    <w:rsid w:val="00F03A6E"/>
    <w:rsid w:val="00F11D22"/>
    <w:rsid w:val="00F11EED"/>
    <w:rsid w:val="00F12EFA"/>
    <w:rsid w:val="00F13A21"/>
    <w:rsid w:val="00F14628"/>
    <w:rsid w:val="00F222E2"/>
    <w:rsid w:val="00F2267F"/>
    <w:rsid w:val="00F23A3E"/>
    <w:rsid w:val="00F25E3F"/>
    <w:rsid w:val="00F32487"/>
    <w:rsid w:val="00F35BBB"/>
    <w:rsid w:val="00F35F89"/>
    <w:rsid w:val="00F3739E"/>
    <w:rsid w:val="00F41701"/>
    <w:rsid w:val="00F42386"/>
    <w:rsid w:val="00F4526A"/>
    <w:rsid w:val="00F464F8"/>
    <w:rsid w:val="00F50B54"/>
    <w:rsid w:val="00F605B2"/>
    <w:rsid w:val="00F63AB7"/>
    <w:rsid w:val="00F756B7"/>
    <w:rsid w:val="00F75793"/>
    <w:rsid w:val="00F76441"/>
    <w:rsid w:val="00F77927"/>
    <w:rsid w:val="00F839C2"/>
    <w:rsid w:val="00F84113"/>
    <w:rsid w:val="00F8449D"/>
    <w:rsid w:val="00F94F43"/>
    <w:rsid w:val="00FA09FD"/>
    <w:rsid w:val="00FA26C1"/>
    <w:rsid w:val="00FB0542"/>
    <w:rsid w:val="00FB46F2"/>
    <w:rsid w:val="00FB6BBA"/>
    <w:rsid w:val="00FB7062"/>
    <w:rsid w:val="00FB7DB0"/>
    <w:rsid w:val="00FC0748"/>
    <w:rsid w:val="00FC0E27"/>
    <w:rsid w:val="00FC30FC"/>
    <w:rsid w:val="00FD446A"/>
    <w:rsid w:val="00FE7E9A"/>
    <w:rsid w:val="00FF0A82"/>
    <w:rsid w:val="00FF16A1"/>
    <w:rsid w:val="00FF2851"/>
    <w:rsid w:val="00FF6A43"/>
    <w:rsid w:val="02A14F20"/>
    <w:rsid w:val="088B07CC"/>
    <w:rsid w:val="16BF21A0"/>
    <w:rsid w:val="1D8557A3"/>
    <w:rsid w:val="3A1442D7"/>
    <w:rsid w:val="47C73E05"/>
    <w:rsid w:val="544B5E50"/>
    <w:rsid w:val="5E574199"/>
    <w:rsid w:val="678978D4"/>
    <w:rsid w:val="7E6D52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20"/>
    <w:qFormat/>
    <w:uiPriority w:val="0"/>
    <w:pPr>
      <w:keepNext/>
      <w:keepLines/>
      <w:spacing w:before="260" w:after="260" w:line="415" w:lineRule="auto"/>
      <w:outlineLvl w:val="1"/>
    </w:pPr>
    <w:rPr>
      <w:rFonts w:ascii="Arial" w:hAnsi="Arial" w:eastAsia="黑体"/>
      <w:b/>
      <w:bCs/>
      <w:sz w:val="32"/>
      <w:szCs w:val="32"/>
    </w:rPr>
  </w:style>
  <w:style w:type="character" w:default="1" w:styleId="9">
    <w:name w:val="Default Paragraph Font"/>
    <w:unhideWhenUsed/>
    <w:qFormat/>
    <w:uiPriority w:val="1"/>
  </w:style>
  <w:style w:type="table" w:default="1" w:styleId="13">
    <w:name w:val="Normal Table"/>
    <w:unhideWhenUsed/>
    <w:uiPriority w:val="99"/>
    <w:tblPr>
      <w:tblLayout w:type="fixed"/>
      <w:tblCellMar>
        <w:top w:w="0" w:type="dxa"/>
        <w:left w:w="108" w:type="dxa"/>
        <w:bottom w:w="0" w:type="dxa"/>
        <w:right w:w="108" w:type="dxa"/>
      </w:tblCellMar>
    </w:tblPr>
  </w:style>
  <w:style w:type="paragraph" w:styleId="3">
    <w:name w:val="Body Text Indent"/>
    <w:basedOn w:val="1"/>
    <w:qFormat/>
    <w:uiPriority w:val="0"/>
    <w:pPr>
      <w:ind w:firstLine="610"/>
    </w:pPr>
    <w:rPr>
      <w:rFonts w:hint="eastAsia" w:ascii="仿宋_GB2312" w:hAnsi="Times New Roman" w:eastAsia="仿宋_GB2312"/>
      <w:sz w:val="32"/>
      <w:szCs w:val="24"/>
    </w:rPr>
  </w:style>
  <w:style w:type="paragraph" w:styleId="4">
    <w:name w:val="Date"/>
    <w:basedOn w:val="1"/>
    <w:next w:val="1"/>
    <w:qFormat/>
    <w:uiPriority w:val="0"/>
    <w:pPr>
      <w:ind w:left="100" w:leftChars="2500"/>
    </w:pPr>
  </w:style>
  <w:style w:type="paragraph" w:styleId="5">
    <w:name w:val="Balloon Text"/>
    <w:basedOn w:val="1"/>
    <w:unhideWhenUsed/>
    <w:qFormat/>
    <w:uiPriority w:val="0"/>
    <w:rPr>
      <w:sz w:val="18"/>
      <w:szCs w:val="18"/>
    </w:rPr>
  </w:style>
  <w:style w:type="paragraph" w:styleId="6">
    <w:name w:val="footer"/>
    <w:basedOn w:val="1"/>
    <w:link w:val="15"/>
    <w:qFormat/>
    <w:uiPriority w:val="0"/>
    <w:pPr>
      <w:tabs>
        <w:tab w:val="center" w:pos="4153"/>
        <w:tab w:val="right" w:pos="8306"/>
      </w:tabs>
      <w:snapToGrid w:val="0"/>
      <w:jc w:val="left"/>
    </w:pPr>
    <w:rPr>
      <w:rFonts w:ascii="Times New Roman" w:hAnsi="Times New Roman"/>
      <w:sz w:val="18"/>
      <w:szCs w:val="18"/>
    </w:rPr>
  </w:style>
  <w:style w:type="paragraph" w:styleId="7">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0">
    <w:name w:val="Strong"/>
    <w:basedOn w:val="9"/>
    <w:qFormat/>
    <w:uiPriority w:val="22"/>
    <w:rPr>
      <w:b/>
      <w:bCs/>
    </w:rPr>
  </w:style>
  <w:style w:type="character" w:styleId="11">
    <w:name w:val="page number"/>
    <w:qFormat/>
    <w:uiPriority w:val="0"/>
  </w:style>
  <w:style w:type="character" w:styleId="12">
    <w:name w:val="Hyperlink"/>
    <w:qFormat/>
    <w:uiPriority w:val="0"/>
    <w:rPr>
      <w:color w:val="0000FF"/>
      <w:u w:val="single"/>
    </w:rPr>
  </w:style>
  <w:style w:type="table" w:styleId="14">
    <w:name w:val="Table Grid"/>
    <w:basedOn w:val="13"/>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5">
    <w:name w:val="页脚 Char"/>
    <w:link w:val="6"/>
    <w:qFormat/>
    <w:uiPriority w:val="0"/>
    <w:rPr>
      <w:rFonts w:ascii="Times New Roman" w:hAnsi="Times New Roman"/>
      <w:kern w:val="2"/>
      <w:sz w:val="18"/>
      <w:szCs w:val="18"/>
    </w:rPr>
  </w:style>
  <w:style w:type="character" w:customStyle="1" w:styleId="16">
    <w:name w:val="页眉 Char"/>
    <w:link w:val="7"/>
    <w:qFormat/>
    <w:uiPriority w:val="0"/>
    <w:rPr>
      <w:kern w:val="2"/>
      <w:sz w:val="18"/>
      <w:szCs w:val="18"/>
    </w:rPr>
  </w:style>
  <w:style w:type="character" w:customStyle="1" w:styleId="17">
    <w:name w:val="Char Char2"/>
    <w:semiHidden/>
    <w:qFormat/>
    <w:uiPriority w:val="0"/>
    <w:rPr>
      <w:rFonts w:eastAsia="宋体"/>
      <w:kern w:val="2"/>
      <w:sz w:val="18"/>
      <w:szCs w:val="18"/>
      <w:lang w:val="en-US" w:eastAsia="zh-CN" w:bidi="ar-SA"/>
    </w:rPr>
  </w:style>
  <w:style w:type="paragraph" w:customStyle="1" w:styleId="18">
    <w:name w:val="Char"/>
    <w:basedOn w:val="1"/>
    <w:qFormat/>
    <w:uiPriority w:val="0"/>
    <w:pPr>
      <w:spacing w:line="360" w:lineRule="auto"/>
    </w:pPr>
  </w:style>
  <w:style w:type="paragraph" w:customStyle="1" w:styleId="19">
    <w:name w:val="Char Char Char Char Char Char Char"/>
    <w:basedOn w:val="1"/>
    <w:qFormat/>
    <w:uiPriority w:val="0"/>
    <w:pPr>
      <w:widowControl/>
      <w:spacing w:after="160" w:line="240" w:lineRule="exact"/>
      <w:jc w:val="left"/>
    </w:pPr>
    <w:rPr>
      <w:rFonts w:ascii="Verdana" w:hAnsi="Verdana"/>
      <w:kern w:val="0"/>
      <w:sz w:val="18"/>
      <w:szCs w:val="20"/>
      <w:lang w:eastAsia="en-US"/>
    </w:rPr>
  </w:style>
  <w:style w:type="character" w:customStyle="1" w:styleId="20">
    <w:name w:val="标题 2 Char"/>
    <w:link w:val="2"/>
    <w:qFormat/>
    <w:uiPriority w:val="0"/>
    <w:rPr>
      <w:rFonts w:ascii="Arial" w:hAnsi="Arial" w:eastAsia="黑体"/>
      <w:b/>
      <w:bCs/>
      <w:kern w:val="2"/>
      <w:sz w:val="32"/>
      <w:szCs w:val="32"/>
      <w:lang w:val="en-US" w:eastAsia="zh-CN" w:bidi="ar-SA"/>
    </w:rPr>
  </w:style>
  <w:style w:type="character" w:customStyle="1" w:styleId="21">
    <w:name w:val="Char Char3"/>
    <w:qFormat/>
    <w:uiPriority w:val="0"/>
    <w:rPr>
      <w:rFonts w:eastAsia="宋体"/>
      <w:kern w:val="2"/>
      <w:sz w:val="18"/>
      <w:szCs w:val="18"/>
      <w:lang w:val="en-US" w:eastAsia="zh-CN" w:bidi="ar-SA"/>
    </w:rPr>
  </w:style>
  <w:style w:type="paragraph" w:customStyle="1" w:styleId="22">
    <w:name w:val="常用正文"/>
    <w:basedOn w:val="1"/>
    <w:qFormat/>
    <w:uiPriority w:val="0"/>
    <w:pPr>
      <w:spacing w:line="540" w:lineRule="exact"/>
      <w:ind w:firstLine="567"/>
    </w:pPr>
    <w:rPr>
      <w:rFonts w:ascii="仿宋_GB2312" w:hAnsi="Times New Roman" w:eastAsia="仿宋_GB2312"/>
      <w:spacing w:val="-16"/>
      <w:sz w:val="32"/>
      <w:szCs w:val="32"/>
    </w:rPr>
  </w:style>
  <w:style w:type="paragraph" w:customStyle="1" w:styleId="23">
    <w:name w:val="Char Char Char Char Char Char Char1"/>
    <w:basedOn w:val="1"/>
    <w:qFormat/>
    <w:uiPriority w:val="0"/>
    <w:pPr>
      <w:spacing w:line="360" w:lineRule="auto"/>
    </w:pPr>
    <w:rPr>
      <w:rFonts w:ascii="宋体" w:hAnsi="宋体"/>
      <w:b/>
      <w:sz w:val="32"/>
      <w:szCs w:val="32"/>
    </w:rPr>
  </w:style>
  <w:style w:type="character" w:customStyle="1" w:styleId="24">
    <w:name w:val="trans"/>
    <w:basedOn w:val="9"/>
    <w:qFormat/>
    <w:uiPriority w:val="0"/>
  </w:style>
  <w:style w:type="paragraph" w:customStyle="1" w:styleId="25">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D93244-30B5-40C7-98BF-694F25B85B86}">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12</Pages>
  <Words>749</Words>
  <Characters>4273</Characters>
  <Lines>35</Lines>
  <Paragraphs>10</Paragraphs>
  <ScaleCrop>false</ScaleCrop>
  <LinksUpToDate>false</LinksUpToDate>
  <CharactersWithSpaces>5012</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2019-03-18T02:21:00Z</dcterms:created>
  <dc:creator>Dell</dc:creator>
  <cp:lastModifiedBy>聂信伟</cp:lastModifiedBy>
  <cp:lastPrinted>2019-03-18T01:15:00Z</cp:lastPrinted>
  <dcterms:modified xsi:type="dcterms:W3CDTF">2022-04-18T03:03:16Z</dcterms:modified>
  <dc:title>皖农计〔2012〕112号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